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C50204B" Type="http://schemas.openxmlformats.org/officeDocument/2006/relationships/officeDocument" Target="/word/document.xml" /><Relationship Id="coreR5C5020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Zmiana Wieloletniej Prognozy Finansowej związana jest z aktualizacją wartości zadań w załączniku przedsięwzięć do wartości po przetargu oraz wprowadzeniem nowych zadań pn: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- Opracowanie planu ogólnego;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- „Cyberbezpieczny Samorząd” dla zadania pn.: „Poprawa Cyberbezpieczeństwa w Gminie Sępólno Krajeńskie”;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- „Rozświetlamy Polskę”. Wymiana nieenergooszczędnych opraw na terenie Gminy Sępólno Krajeńskie;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- Centrum Usług Społecznych w Gminie Sępólno Krajeńskie.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Aktualizuje się też dochody i wydatki do wysokości określonych w uchwale budżetowej.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przedstawiony na Komisji Budżetu Rady Miejskiej w Sępólnie Krajeńskim i zaopiniowany pozytywnie.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1"/>
          <w:i w:val="0"/>
          <w:caps w:val="0"/>
          <w:sz w:val="22"/>
          <w:vertAlign w:val="baseline"/>
        </w:rPr>
        <w:t>A. </w:t>
      </w: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B.</w:t>
      </w:r>
    </w:p>
    <w:p>
      <w:pPr>
        <w:keepNext w:val="1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ab/>
        <w:tab/>
        <w:tab/>
        <w:tab/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  <w:tab/>
        <w:tab/>
        <w:tab/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2024-03-28T14:30:55Z</dcterms:created>
  <cp:lastModifiedBy>HOST-13\Frosina</cp:lastModifiedBy>
  <dcterms:modified xsi:type="dcterms:W3CDTF">2024-03-28T13:31:44Z</dcterms:modified>
  <cp:revision>2</cp:revision>
  <dc:title>Uchwała Nr LXVI/590/2024 z dnia 27 marca 2024 r.</dc:title>
</cp:coreProperties>
</file>