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41C62FD2" Type="http://schemas.openxmlformats.org/officeDocument/2006/relationships/officeDocument" Target="/word/document.xml" /><Relationship Id="coreR41C62FD2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1 do uchwały nr XXVI/204/2026</w:t>
        <w:br w:type="textWrapping"/>
        <w:t>Rady Miejskiej w Sępólnie Krajeńskim</w:t>
        <w:br w:type="textWrapping"/>
        <w:t>z dnia 29 kwietnia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b w:val="0"/>
          <w:caps w:val="0"/>
          <w:strike w:val="0"/>
          <w:color w:val="auto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Wieloletnia Prognoza Finansowa</w:t>
      </w:r>
      <w:r>
        <w:rPr>
          <w:rFonts w:ascii="Times New Roman" w:hAnsi="Times New Roman"/>
          <w:b w:val="1"/>
          <w:caps w:val="0"/>
          <w:sz w:val="22"/>
        </w:rPr>
        <w:fldChar w:fldCharType="begin"/>
      </w:r>
      <w:r>
        <w:rPr>
          <w:rFonts w:ascii="Times New Roman" w:hAnsi="Times New Roman"/>
          <w:b w:val="1"/>
          <w:caps w:val="0"/>
          <w:sz w:val="22"/>
        </w:rPr>
        <w:instrText>HYPERLINK "fnote://789395A9-1746-44A2-AD85-ECDE19739C2C"</w:instrText>
      </w:r>
      <w:r>
        <w:rPr>
          <w:rFonts w:ascii="Times New Roman" w:hAnsi="Times New Roman"/>
          <w:b w:val="1"/>
          <w:caps w:val="0"/>
          <w:sz w:val="22"/>
        </w:rPr>
        <w:fldChar w:fldCharType="separate"/>
      </w:r>
      <w:r>
        <w:rPr>
          <w:rStyle w:val="C2"/>
          <w:rFonts w:ascii="Times New Roman" w:hAnsi="Times New Roman"/>
          <w:b w:val="1"/>
          <w:caps w:val="0"/>
          <w:color w:val="000000"/>
          <w:sz w:val="20"/>
          <w:u w:val="none"/>
          <w:vertAlign w:val="superscript"/>
        </w:rPr>
        <w:t>1</w:t>
      </w:r>
      <w:r>
        <w:rPr>
          <w:rStyle w:val="C2"/>
          <w:rFonts w:ascii="Times New Roman" w:hAnsi="Times New Roman"/>
          <w:b w:val="1"/>
          <w:caps w:val="0"/>
          <w:color w:val="000000"/>
          <w:sz w:val="20"/>
          <w:u w:val="none"/>
          <w:vertAlign w:val="superscript"/>
        </w:rPr>
        <w:fldChar w:fldCharType="end"/>
      </w: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8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36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ogółem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555" w:type="dxa"/>
            <w:gridSpan w:val="10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762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35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z tytułu udziału we wpływach z podatku dochodowego od osób fizycznych</w:t>
            </w:r>
          </w:p>
        </w:tc>
        <w:tc>
          <w:tcPr>
            <w:tcW w:w="109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z tytułu udziału we wpływach z podatku dochodowego od osób prawnych</w:t>
            </w:r>
          </w:p>
        </w:tc>
        <w:tc>
          <w:tcPr>
            <w:tcW w:w="13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subwencji ogólnej</w:t>
            </w:r>
          </w:p>
        </w:tc>
        <w:tc>
          <w:tcPr>
            <w:tcW w:w="132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z tytułu dotacji i środków przeznaczonych na cele bieżące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"fnote://CB2115E0-4081-4183-BA5E-A786595E5027"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3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pozostałe dochody bieżące</w: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begin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instrText>HYPERLINK "fnote://A32D57B3-3190-44A2-84B2-F19D75BE44B6"</w:instrTex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4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ze sprzedaży majątku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 tytułu dotacji oraz środków przeznaczonych na inwestycje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6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32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 podatku od nieruchomości</w:t>
            </w: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9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1.1.1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1.1.2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1.1.3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1.1.4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1.1.5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1.1.5.1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1.2.1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1.2.2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133 787 524,50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116 407 808,72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45 134 758,00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1 174 955,00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15 999 647,00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21 112 849,31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32 985 599,41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12 540 000,00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17 379 715,78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100 500,00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17 249 215,78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138 810 000,00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128 810 000,00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48 646 710,00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1 642 725,00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14 077 350,00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18 017 103,00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46 426 112,00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13 119 750,00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10 000 000,00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145 750 500,00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134 750 500,00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51 079 045,00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1 724 861,00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14 781 218,00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18 917 958,00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48 247 418,00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13 775 738,00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2029</w: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begin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instrText>HYPERLINK "fnote://D73DF301-B393-441D-AFDB-119153BD628D"</w:instrText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2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153 038 025,00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142 038 025,00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53 632 998,00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1 811 104,00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15 520 278,00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19 863 856,00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51 209 789,00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14 464 524,00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160 689 926,00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148 689 926,00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56 314 647,00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1 901 659,00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16 296 292,00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20 857 049,00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53 320 279,00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15 187 750,00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168 724 422,00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156 724 422,00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59 130 380,00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1 996 742,00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17 111 106,00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21 899 902,00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56 586 292,00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15 947 138,00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12 000 000,00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177 160 643,00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164 160 643,00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62 086 899,00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2 096 579,00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17 966 663,00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22 994 897,00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59 015 605,00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16 744 495,00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186 018 675,00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173 018 675,00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65 191 244,00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2 201 408,00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18 864 995,00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24 144 642,00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62 616 386,00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17 581 720,00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195 319 609,00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182 319 609,00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68 450 806,00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2 311 479,00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19 808 245,00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25 351 874,00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66 397 205,00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18 460 805,00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205 085 590,00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192 085 590,00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71 873 347,00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2 427 053,00</w:t>
            </w:r>
          </w:p>
        </w:tc>
        <w:tc>
          <w:tcPr>
            <w:tcW w:w="13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20 798 657,00</w:t>
            </w:r>
          </w:p>
        </w:tc>
        <w:tc>
          <w:tcPr>
            <w:tcW w:w="132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26 619 468,00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70 367 065,00</w:t>
            </w:r>
          </w:p>
        </w:tc>
        <w:tc>
          <w:tcPr>
            <w:tcW w:w="127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19 383 846,00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13 000 000,00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ogółem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705" w:type="dxa"/>
            <w:gridSpan w:val="11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7695" w:type="dxa"/>
            <w:gridSpan w:val="7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29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565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na wynagrodzenia i składki od nich naliczane</w:t>
            </w:r>
          </w:p>
        </w:tc>
        <w:tc>
          <w:tcPr>
            <w:tcW w:w="88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tytułu poręczeń i gwarancji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35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na obsługę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3525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2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Inwestycje i zakupy inwestycyjne, o których mowa w art. 236 ust. 4 pkt 1 ustawy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15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88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gwarancje i poręczenia podlegające wyłączeniu z limitu spłaty zobowiązań, o którym mowa w art. 243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35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odsetki i dyskonto podlegające wyłączeniu z limitu spłaty zobowiązań, o którym mowa w art. 243 ustawy, w terminie nie dłuższym niż 90 dni po zakończeniu programu, projektu lub zadania i otrzymaniu refundacji z tych środków (bez odsetek i dyskonta od zobowiązań na wkład krajowy)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odsetki i dyskonto podlegające wyłączeniu z limitu spłaty zobowiązań, o którym mowa w art. 243 ustawy, z tytułu zobowiązań zaciągniętych na wkład krajowy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pozostałe odsetki i dyskonto podlegające wyłączeniu z limitu spłaty zobowiązań, o którym mowa w art. 243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29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26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 charakterze dotacyjnym na inwestycje i zakupy inwestycyjne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2.1.1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2.1.2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2.1.2.1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2.1.3.1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2.1.3.2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2.1.3.3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2.2.1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2.2.1.1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144 087 524,50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111 824 886,03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56 761 110,18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337 783,00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32 262 638,47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32 182 638,47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2 064 219,00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137 560 000,00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112 560 000,00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58 033 562,00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144 100 500,00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119 100 500,00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60 935 240,00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25 000 000,00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151 788 025,00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127 788 025,00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63 982 002,00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24 000 000,00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159 439 926,00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136 439 926,00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67 181 102,00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350 000,00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23 000 000,00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167 024 422,00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145 024 422,00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70 540 158,00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22 000 000,00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175 087 532,78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154 087 532,78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74 067 165,00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21 000 000,00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186 018 675,00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166 018 675,00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77 770 524,00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195 319 609,00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175 319 609,00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81 659 050,00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100 000,00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205 085 590,00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185 085 590,00</w:t>
            </w:r>
          </w:p>
        </w:tc>
        <w:tc>
          <w:tcPr>
            <w:tcW w:w="11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85 742 003,00</w:t>
            </w:r>
          </w:p>
        </w:tc>
        <w:tc>
          <w:tcPr>
            <w:tcW w:w="88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9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3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4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14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29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2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20 000 000,00</w:t>
            </w:r>
          </w:p>
        </w:tc>
        <w:tc>
          <w:tcPr>
            <w:tcW w:w="130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Wynik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Przychody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Kwota prognozowanej nadwyżki budżetu przeznaczana na spłatę kredytów, pożyczek i wykup papierów wartościowych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"fnote://C10C5D88-5960-4CE9-946A-BA07FE293773"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5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Kredyty, pożyczki, emisja papierów wartościowych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b w:val="0"/>
                <w:i w:val="0"/>
                <w:caps w:val="0"/>
                <w:sz w:val="14"/>
                <w:vertAlign w:val="baseline"/>
              </w:rPr>
              <w:t>Nadwyżka budżetowa z lat ubiegłych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"fnote://4E3CBF4B-6797-4B47-9674-09C2AE1EF38E"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6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Wolne środki, o których mowa w art. 217 ust.2 pkt 6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4.3.1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-10 300 000,00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11 550 000,00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3 623 110,22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3 623 110,22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2 246 189,20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2 246 189,20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5 680 700,58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4 430 700,58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4000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Rozchody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4000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Spłaty udzielonych pożyczek w latach ubiegłych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Inne przychody niezwiązane z zaciągnięciem długu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instrText>HYPERLINK "fnote://F399D6D3-A22C-486B-9071-B680B7681C8E"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7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Spłaty rat kapitałowych kredytów i pożyczek oraz wykup papierów wartościowych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na pokrycie deficytu budżetu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łączna kwota przypadających na dany rok kwot ustawowych wyłączeń z limitu spłaty zobowiązań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kwota przypadających na dany rok kwot wyłączeń określonych w art. 243 ust.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kwota przypadających na dany rok kwot wyłączeń określonych w art. 243 ust. 3a ustawy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4.5.1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5.1.1.2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2 073 110,22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Rozchody budżetu,z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zrównoważenia wydatków bieżących, o której mowa w art. 242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50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łączna kwota przypadających na dany rok kwot ustawowych wyłączeń z limitu spłaty zobowiązań,z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Inne rozchody niezwiązane ze spłatą długu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długu, którego planowana spłata dokona się z wydatków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Różnica między dochodami bieżącymi a wydatkami bieżącymi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Różnica między dochodami bieżącymi, skorygowanymi o środki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"fnote://F6A09348-7A8A-4AB0-B20A-1193EC009E5F"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8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aps w:val="0"/>
                <w:sz w:val="14"/>
                <w:vertAlign w:val="baseline"/>
              </w:rPr>
              <w:t xml:space="preserve"> a wydatkami bieżącymi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14"/>
                <w:u w:val="none" w:color="000000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wyłączeń z tytułu wcześniejszej spłaty zobowiązań, określonych w art. 243 ust. 3b ustawy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przypadających na dany rok kwot pozostałych ustawowych wyłączeń z limitu spłaty zobowiązań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środkami nowego zobowiązania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wolnymi środkami, o których mowa w art. 217 ust. 2 pkt 6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innymi środkami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5.1.1.3.3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5.1.1.4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7.2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9 173 110,22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4 582 922,69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12 509 812,47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7 923 110,22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6 273 110,22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15 650 000,00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5 023 110,22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3 773 110,22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12 250 000,00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11 700 000,00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11 700 000,00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10 073 110,22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10 073 110,22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7 000 000,00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6000" w:type="dxa"/>
            <w:gridSpan w:val="6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Wskaźnik spłaty zobowiązań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określona po lewej stronie nierówności we wzorze, o którym mowa w art. 243 ust. 1 ustawy (po uwzględnieniu zobowiązań związku współtworzonego przez jednostkę samorządu terytorialnego oraz po uwzględnieniu ustawowych wyłączeń przypadających na dany rok)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Relacja określona po prawej stronie nierówności we wzorze, o którym mowa w art. 243 ust. 1 ustawy, ustalona dla danego roku (wskaźnik jednoroczny)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Dopuszczalny limit spłaty zobowiązań określony po prawej stronie nierówności we wzorze, o którym mowa w art. 243 ustawy, po uwzględnieniu ustawowych wyłączeń, obliczony w oparciu o plan 3 kwartału roku poprzedzającego pierwszy rok prognozy (wskaźnik ustalony w oparciu o średnią arytmetyczną z poprzednich lat)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Dopuszczalny limit spłaty zobowiązań określony po prawej stronie nierówności we wzorze, o którym mowa w art. 243 ustawy, po uwzględnieniu ustawowych wyłączeń, obliczony w oparciu o wykonanie roku poprzedzającego pierwszy rok prognozy (wskaźnik ustalony w oparciu o średnią arytmetyczną z poprzednich lat)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plan 3 kwartałów roku poprzedzającego rok budżetowy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Informacja o spełnieniu wskaźnika spłaty zobowiązań określonego w art. 243 ustawy, po uwzględnieniu zobowiązań związku współtworzonego przez jednostkę samorządu terytorialnego oraz po uwzględnieniu ustawowych wyłączeń, obliczonego w oparciu o wykonanie roku poprzedzającego rok budżetowy</w:t>
            </w:r>
            <w:r>
              <w:rPr>
                <w:sz w:val="14"/>
                <w:vertAlign w:val="superscript"/>
              </w:rPr>
              <w:t>X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8.4.1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1,67%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5,04%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10,63%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11,18%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1,58%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15,12%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9,26%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13,94%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9,71%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10,25%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1,35%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11,99%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10,38%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1,25%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9,86%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9,91%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10,45%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1,48%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8,90%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9,99%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10,53%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1,61%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7,28%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10,04%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10,58%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0,10%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4,80%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10,30%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10,30%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4,52%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10,27%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10,27%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4,23%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8,76%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8,76%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TAK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9000" w:type="dxa"/>
            <w:gridSpan w:val="9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Finansowanie programów, projektów lub zadań realizowanych z udziałem środków, o których mowa w art. 5 ust. 1 pkt 2 i 3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bieżące na programy, projekty lub zadania finansowane z udziałem środków, o których mowa w art. 5 ust. 1 pkt 2 i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 na programy, projekty lub zadania finansowane z udziałem środków, o których mowa w art. 5 ust. 1 pkt 2 i 3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 xml:space="preserve"> Wydatki bieżące na programy, projekty lub zadania finansowane z udziałem środków, o których mowa w art. 5 ust. 1 pkt 2 i 3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Dotacje i środki o charakterze bieżącym na realizację programu, projektu lub zadania finansowanego z udziałem środków, o których mowa w art. 5 ust. 1 pkt 2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Dochody majątkowe na programy, projekty lub zadania finansowane z udziałem środków, o których mowa w art. 5 ust. 1 pkt 2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 na programy, projekty lub zadania finansowane z udziałem środków, o których mowa w art. 5 ust. 1 pkt 2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środki określone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środki określone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finansowane środkami określonymi w art. 5 ust. 1 pkt 2 ustawy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9.1.1.1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9.2.1.1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9.3.1.1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5 553 748,99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5 445 282,14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4 997 747,61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10 320 622,42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10 320 622,42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10 320 622,42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5 326 723,32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5 326 723,32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4 586 927,81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71 214,00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3000" w:type="dxa"/>
            <w:gridSpan w:val="3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7000" w:type="dxa"/>
            <w:gridSpan w:val="7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Informacje uzupełniające o wybranych kategoriach finansowych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 na programy, projekty lub zadania finansowane z udziałem środków, o których mowa w art. 5 ust. 1 pkt 2 i 3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objęte limitem, o którym mowa w art. 226 ust. 3 pkt 4 ustawy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z tego: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bieżące na pokrycie ujemnego wyniku finansowego samodzielnego publicznego zakładu opieki zdrowotnej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na spłatę zobowiązań przejmowanych w związku z likwidacją lub przekształceniem samodzielnego publicznego zakładu opieki zdrowotnej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zobowiązań związku współtworzonego przez jednostkę samorządu terytorialnego przypadających do spłaty w danym roku budżetowym, podlegająca doliczeniu zgodnie z art. 244 ustawy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zobowiązań wynikających z przejęcia przez jednostkę samorządu terytorialnego zobowiązań po likwidowanych i przekształcanych samorządowych osobach prawnych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majątkowe na programy, projekty lub zadania finansowane z udziałem środków, o których mowa w art. 5 ust. 1 pkt 2 ustawy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bieżące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majątkowe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finansowane środkami określonymi w art. 5 ust. 1 pkt 2 ustawy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9.4.1.1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10.1.2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10.5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16 984 678,05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16 984 678,05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10 572 878,30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18 326 907,54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4 320 101,43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14 006 806,11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6 300 000,00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15 555 338,75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1 489 214,00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14 066 124,75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1 418 000,00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1 418 000,00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1 178 000,00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1 000 000,00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0,00</w:t>
            </w:r>
          </w:p>
        </w:tc>
      </w:tr>
    </w:tbl>
    <w:p>
      <w:pPr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br w:type="page"/>
      </w:r>
    </w:p>
    <w:tbl>
      <w:tblPr>
        <w:tblW w:w="5000" w:type="pct"/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Wyszczególnienie</w:t>
            </w:r>
          </w:p>
        </w:tc>
        <w:tc>
          <w:tcPr>
            <w:tcW w:w="11000" w:type="dxa"/>
            <w:gridSpan w:val="11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Informacje uzupełniające o wybranych kategoriach finansowych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Spłaty, o których mowa w poz. 5.1, wynikające wyłącznie z tytułu zobowiązań już zaciągniętych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Wydatki zmniejszające dług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5000" w:type="dxa"/>
            <w:gridSpan w:val="5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Kwota wzrostu(+)/spadku(−) kwoty długu wynikająca z operacji niekasowych (m.in. umorzenia, różnice kursowe)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Wcześniejsza spłata zobowiązań, wyłączona z limitu spłaty zobowiązań, dokonywana w formie wydatków budżetowych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22"/>
                <w:u w:val="none" w:color="000000"/>
                <w:vertAlign w:val="baseline"/>
              </w:rPr>
            </w:pPr>
            <w:r>
              <w:rPr>
                <w:sz w:val="14"/>
              </w:rPr>
              <w:t>Wykup papierów wartościowych, spłaty rat kredytów i pożyczek wraz z należnymi odsetkami i dyskontem, odpowiednio emitowanych lub zaciągniętych do równowartości kwoty ubytku w wykonanych dochodach jednostki samorządu terytorialnego będącego skutkiem wystąpienia COVID-19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t>Wydatki bieżące podlegające ustawowemu wyłączeniu z limitu spłaty zobowiązań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instrText>HYPERLINK "fnote://93584057-96E4-49C9-8F95-B298D99B935D"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auto"/>
                <w:sz w:val="14"/>
                <w:u w:val="none" w:color="000000"/>
                <w:vertAlign w:val="baseline"/>
              </w:rPr>
              <w:fldChar w:fldCharType="separate"/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t>9</w:t>
            </w:r>
            <w:r>
              <w:rPr>
                <w:rStyle w:val="C2"/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0"/>
                <w:u w:val="none" w:color="000000"/>
                <w:vertAlign w:val="superscript"/>
              </w:rPr>
              <w:fldChar w:fldCharType="end"/>
            </w:r>
            <w:r>
              <w:rPr>
                <w:b w:val="0"/>
                <w:i w:val="0"/>
                <w:color w:val="000000"/>
                <w:u w:val="none"/>
                <w:vertAlign w:val="baseline"/>
              </w:rPr>
              <w:t> 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spłata zobowiązań wymagalnych z lat poprzednich, innych niż w poz. 10.7.3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spłata zobowiązań zaliczanych do tytułu dłużnego – kredyt i pożyczka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2000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wypłaty z tytułu wymagalnych poręczeń i gwarancji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restart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zobowiązań zaciągniętych po dniu 1 stycznia 2019 r.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w tym: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dokonywana w formie wydatku bieżącego</w:t>
            </w:r>
            <w:r>
              <w:rPr>
                <w:sz w:val="14"/>
                <w:vertAlign w:val="superscript"/>
              </w:rPr>
              <w:t>X</w:t>
            </w: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  <w:tc>
          <w:tcPr>
            <w:tcW w:w="1000" w:type="dxa"/>
            <w:vMerge w:val="continue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Lp.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10.7.2.1.1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10.7.3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10.9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10.10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10.11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2026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2027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1 250 000,00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2028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2029</w:t>
            </w:r>
            <w:r>
              <w:rPr>
                <w:sz w:val="14"/>
                <w:vertAlign w:val="superscript"/>
              </w:rPr>
              <w:t>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650 000,00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2031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1 400 000,00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2032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2033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2034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  <w:tr>
        <w:tblPrEx>
          <w:tblW w:w="5000" w:type="pct"/>
          <w:tblLayout w:type="fixed"/>
        </w:tblPrEx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center"/>
            </w:pPr>
            <w:r>
              <w:rPr>
                <w:sz w:val="14"/>
              </w:rPr>
              <w:t>2035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x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  <w:tc>
          <w:tcPr>
            <w:tcW w:w="100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top"/>
          </w:tcPr>
          <w:p>
            <w:pPr>
              <w:jc w:val="right"/>
            </w:pPr>
            <w:r>
              <w:rPr>
                <w:sz w:val="14"/>
              </w:rPr>
              <w:t>0,00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* Informacje zawarte w tej części wieloletniej prognozy finansowej, w tym o spełnieniu relacji określonej w art. 243 ustawy zostaną automatycznie wygenerowane przez aplikację wskazaną przez Ministra Finansów, o której mowa w § 4 ust. 1 rozporządzenia, na podstawie danych historycznych oraz prognozowanych przez jednostkę samorządu terytorialnego.Automatyczne wyliczenia danych na podstawie wartości historycznych i prognozowanych przez jednostkę samorządu terytorialnego dotyczą w szczególności także pozycji 8.3–8.3.1 i pozycji z sekcji 12.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 w:color="000000"/>
          <w:vertAlign w:val="baseline"/>
        </w:rPr>
        <w:t>x - pozycje oznaczone symbolem „x” sporządza się na okres prognozy kwoty długu, zgodnie z art. 227 ust. 2 ustawy. Okres ten nie podlega wydłużeniu w sytuacji planowania wydatków z tytułu niewymagalnych poręczeń i gwarancji.W przypadku planowania wydatków z tytułu niewymagalnych poręczeń i gwarancji w okresie dłuższym niż okres, na który zaciągnięto oraz planuje się zaciągnąć zobowiązania dłużne, informację o wydatkach z tytułu niewymagalnych poręczeń i gwarancji, wykraczających poza wspomniany okres, należy zamieścić w objaśnieniach do wieloletniej prognozy finansowej.</w:t>
      </w:r>
    </w:p>
    <w:sectPr>
      <w:endnotePr>
        <w:numFmt w:val="decimal"/>
      </w:endnotePr>
      <w:type w:val="nextPage"/>
      <w:pgSz w:w="16838" w:h="11906" w:code="0" w:orient="landscape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2026-04-30T12:39:03Z</dcterms:created>
  <cp:lastModifiedBy>HOST-13\Frosina</cp:lastModifiedBy>
  <dcterms:modified xsi:type="dcterms:W3CDTF">2026-05-04T09:57:15Z</dcterms:modified>
  <cp:revision>5</cp:revision>
  <dc:title>Uchwała nr  XXVI/204/2026 z dnia 29 kwietnia 2026 r.</dc:title>
</cp:coreProperties>
</file>