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1D926D1" Type="http://schemas.openxmlformats.org/officeDocument/2006/relationships/officeDocument" Target="/word/document.xml" /><Relationship Id="coreR31D926D1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spacing w:lineRule="auto" w:line="360" w:beforeAutospacing="0" w:afterAutospacing="0"/>
        <w:jc w:val="center"/>
        <w:rPr>
          <w:b w:val="1"/>
          <w:caps w:val="1"/>
        </w:rPr>
      </w:pPr>
      <w:r>
        <w:rPr>
          <w:b w:val="1"/>
          <w:caps w:val="1"/>
        </w:rPr>
        <w:t>uzasadnienie</w:t>
      </w:r>
    </w:p>
    <w:p>
      <w:pPr>
        <w:shd w:val="clear" w:fill="FFFFFF"/>
        <w:spacing w:lineRule="auto" w:line="240" w:after="0" w:beforeAutospacing="0" w:afterAutospacing="0"/>
        <w:ind w:right="43"/>
        <w:jc w:val="center"/>
        <w:rPr>
          <w:rFonts w:ascii="Times New Roman" w:hAnsi="Times New Roman"/>
          <w:b w:val="1"/>
          <w:sz w:val="24"/>
          <w:lang w:val="pl-PL" w:bidi="pl-PL" w:eastAsia="pl-PL"/>
        </w:rPr>
      </w:pPr>
      <w:r>
        <w:rPr>
          <w:rFonts w:ascii="Times New Roman" w:hAnsi="Times New Roman"/>
          <w:b w:val="1"/>
          <w:sz w:val="24"/>
          <w:lang w:val="pl-PL" w:bidi="pl-PL" w:eastAsia="pl-PL"/>
        </w:rPr>
        <w:t xml:space="preserve">Zgodnie z art. 15 ust. 1 </w:t>
      </w:r>
      <w:r>
        <w:rPr>
          <w:rFonts w:ascii="Times New Roman" w:hAnsi="Times New Roman"/>
          <w:b w:val="1"/>
          <w:sz w:val="24"/>
        </w:rPr>
        <w:t xml:space="preserve">ustawy z dnia 27 marca 2003 r. o planowaniu i zagospodarowaniu </w:t>
        <w:br w:type="textWrapping"/>
        <w:t>przestrzennym (Dz. U. z 2024 r. poz. 1130, 1907, 1940, Dz. U z 2025 r. poz. 527, 680)</w:t>
      </w:r>
      <w:r>
        <w:rPr>
          <w:rFonts w:ascii="Times New Roman" w:hAnsi="Times New Roman"/>
          <w:b w:val="1"/>
          <w:sz w:val="24"/>
          <w:lang w:val="pl-PL" w:bidi="pl-PL" w:eastAsia="pl-PL"/>
        </w:rPr>
        <w:t>,</w:t>
      </w:r>
    </w:p>
    <w:p>
      <w:pPr>
        <w:tabs>
          <w:tab w:val="left" w:pos="568" w:leader="none"/>
          <w:tab w:val="left" w:pos="4544" w:leader="none"/>
          <w:tab w:val="left" w:pos="5245" w:leader="none"/>
          <w:tab w:val="left" w:pos="6096" w:leader="none"/>
          <w:tab w:val="left" w:pos="7384" w:leader="none"/>
          <w:tab w:val="left" w:pos="9372" w:leader="none"/>
          <w:tab w:val="left" w:pos="10792" w:leader="none"/>
          <w:tab w:val="left" w:pos="12212" w:leader="none"/>
          <w:tab w:val="left" w:pos="13632" w:leader="none"/>
        </w:tabs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  <w:lang w:val="pl-PL" w:bidi="pl-PL" w:eastAsia="pl-PL"/>
        </w:rPr>
        <w:t>do</w:t>
      </w:r>
      <w:r>
        <w:rPr>
          <w:rFonts w:ascii="Times New Roman" w:hAnsi="Times New Roman"/>
          <w:b w:val="1"/>
          <w:sz w:val="24"/>
        </w:rPr>
        <w:t xml:space="preserve"> miejscowego planu zagospodarowania przestrzennego terenu zlokalizowanego pomiędzy </w:t>
      </w:r>
    </w:p>
    <w:p>
      <w:pPr>
        <w:tabs>
          <w:tab w:val="left" w:pos="568" w:leader="none"/>
          <w:tab w:val="left" w:pos="4544" w:leader="none"/>
          <w:tab w:val="left" w:pos="5245" w:leader="none"/>
          <w:tab w:val="left" w:pos="6096" w:leader="none"/>
          <w:tab w:val="left" w:pos="7384" w:leader="none"/>
          <w:tab w:val="left" w:pos="9372" w:leader="none"/>
          <w:tab w:val="left" w:pos="10792" w:leader="none"/>
          <w:tab w:val="left" w:pos="12212" w:leader="none"/>
          <w:tab w:val="left" w:pos="13632" w:leader="none"/>
        </w:tabs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4"/>
          <w:lang w:val="pl-PL" w:bidi="pl-PL" w:eastAsia="pl-PL"/>
        </w:rPr>
      </w:pPr>
      <w:r>
        <w:rPr>
          <w:rFonts w:ascii="Times New Roman" w:hAnsi="Times New Roman"/>
          <w:b w:val="1"/>
          <w:sz w:val="24"/>
        </w:rPr>
        <w:t>ulicami Tadeusza Kościuszki a Zakładową w Sępólnie Krajeńskim</w:t>
      </w:r>
      <w:r>
        <w:rPr>
          <w:rFonts w:ascii="Times New Roman" w:hAnsi="Times New Roman"/>
          <w:b w:val="1"/>
          <w:sz w:val="24"/>
          <w:lang w:val="pl-PL" w:bidi="pl-PL" w:eastAsia="pl-PL"/>
        </w:rPr>
        <w:t xml:space="preserve">, </w:t>
      </w:r>
    </w:p>
    <w:p>
      <w:pPr>
        <w:tabs>
          <w:tab w:val="left" w:pos="568" w:leader="none"/>
          <w:tab w:val="left" w:pos="4544" w:leader="none"/>
          <w:tab w:val="left" w:pos="5245" w:leader="none"/>
          <w:tab w:val="left" w:pos="6096" w:leader="none"/>
          <w:tab w:val="left" w:pos="7384" w:leader="none"/>
          <w:tab w:val="left" w:pos="9372" w:leader="none"/>
          <w:tab w:val="left" w:pos="10792" w:leader="none"/>
          <w:tab w:val="left" w:pos="12212" w:leader="none"/>
          <w:tab w:val="left" w:pos="13632" w:leader="none"/>
        </w:tabs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4"/>
          <w:lang w:val="pl-PL" w:bidi="pl-PL" w:eastAsia="pl-PL"/>
        </w:rPr>
      </w:pPr>
    </w:p>
    <w:p>
      <w:pPr>
        <w:tabs>
          <w:tab w:val="left" w:pos="568" w:leader="none"/>
          <w:tab w:val="left" w:pos="4544" w:leader="none"/>
          <w:tab w:val="left" w:pos="5245" w:leader="none"/>
          <w:tab w:val="left" w:pos="6096" w:leader="none"/>
          <w:tab w:val="left" w:pos="7384" w:leader="none"/>
          <w:tab w:val="left" w:pos="9372" w:leader="none"/>
          <w:tab w:val="left" w:pos="10792" w:leader="none"/>
          <w:tab w:val="left" w:pos="12212" w:leader="none"/>
          <w:tab w:val="left" w:pos="13632" w:leader="none"/>
        </w:tabs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Wstęp</w:t>
      </w:r>
    </w:p>
    <w:p>
      <w:pPr>
        <w:tabs>
          <w:tab w:val="left" w:pos="568" w:leader="none"/>
          <w:tab w:val="left" w:pos="4544" w:leader="none"/>
          <w:tab w:val="left" w:pos="5245" w:leader="none"/>
          <w:tab w:val="left" w:pos="6096" w:leader="none"/>
          <w:tab w:val="left" w:pos="7384" w:leader="none"/>
          <w:tab w:val="left" w:pos="9372" w:leader="none"/>
          <w:tab w:val="left" w:pos="10792" w:leader="none"/>
          <w:tab w:val="left" w:pos="12212" w:leader="none"/>
          <w:tab w:val="left" w:pos="13632" w:leader="none"/>
        </w:tabs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4"/>
        </w:rPr>
      </w:pPr>
    </w:p>
    <w:p>
      <w:pPr>
        <w:shd w:val="clear" w:fill="FFFFFF"/>
        <w:tabs>
          <w:tab w:val="left" w:pos="851" w:leader="none"/>
        </w:tabs>
        <w:spacing w:lineRule="auto" w:line="240" w:after="0" w:beforeAutospacing="0" w:afterAutospacing="0"/>
        <w:ind w:firstLine="295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  <w:lang w:val="pl-PL" w:bidi="pl-PL" w:eastAsia="pl-PL"/>
        </w:rPr>
        <w:tab/>
        <w:t xml:space="preserve">Uchwałą </w:t>
      </w:r>
      <w:r>
        <w:rPr>
          <w:rFonts w:ascii="Times New Roman" w:hAnsi="Times New Roman"/>
          <w:sz w:val="24"/>
        </w:rPr>
        <w:t xml:space="preserve">XIII/121/2025 z dnia 30 kwietnia 2025 r. Rada Miejska w Sępólnie Krajeńskim </w:t>
      </w:r>
      <w:r>
        <w:rPr>
          <w:rFonts w:ascii="Times New Roman" w:hAnsi="Times New Roman"/>
          <w:sz w:val="24"/>
          <w:lang w:val="pl-PL" w:bidi="pl-PL" w:eastAsia="pl-PL"/>
        </w:rPr>
        <w:t>zobowiązała Burmistrza Sępólna Krajeńskiego do przystąpienia do sporządzenia</w:t>
      </w:r>
      <w:r>
        <w:rPr>
          <w:rFonts w:ascii="Times New Roman" w:hAnsi="Times New Roman"/>
          <w:sz w:val="24"/>
        </w:rPr>
        <w:t xml:space="preserve"> miejscowego planu zagospodarowania przestrzennego terenu zlokalizowanego pomiędzy ulicami Tadeusza Kościuszki </w:t>
        <w:br w:type="textWrapping"/>
        <w:t>a Zakładową w Sępólnie Krajeńskim</w:t>
      </w:r>
      <w:r>
        <w:rPr>
          <w:rFonts w:ascii="Times New Roman" w:hAnsi="Times New Roman"/>
          <w:sz w:val="24"/>
          <w:lang w:val="pl-PL" w:bidi="pl-PL" w:eastAsia="pl-PL"/>
        </w:rPr>
        <w:t>.</w:t>
      </w:r>
    </w:p>
    <w:p>
      <w:pPr>
        <w:spacing w:lineRule="auto" w:line="240" w:before="12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pl-PL" w:bidi="pl-PL" w:eastAsia="pl-PL"/>
        </w:rPr>
        <w:tab/>
        <w:t xml:space="preserve">Granicami opracowania planu miejscowego objęto </w:t>
      </w:r>
      <w:r>
        <w:rPr>
          <w:rFonts w:ascii="Times New Roman" w:hAnsi="Times New Roman"/>
          <w:sz w:val="24"/>
        </w:rPr>
        <w:t xml:space="preserve">obszar działek nr nr 17/1, 17/2, 17/3, 17/4, 23, 24, 25, 27/3, 27/4, 27/8, 27/9 i 29/2 o powierzchni 11,7 ha, położony w obrębie geodezyjnym </w:t>
      </w:r>
      <w:r>
        <w:rPr>
          <w:rFonts w:ascii="Times New Roman" w:hAnsi="Times New Roman"/>
          <w:sz w:val="24"/>
          <w:lang w:val="pl-PL" w:bidi="pl-PL" w:eastAsia="pl-PL"/>
        </w:rPr>
        <w:t xml:space="preserve"> </w:t>
      </w:r>
      <w:r>
        <w:rPr>
          <w:rFonts w:ascii="Times New Roman" w:hAnsi="Times New Roman"/>
          <w:sz w:val="24"/>
        </w:rPr>
        <w:t xml:space="preserve">nr 0002 w Sępólnie Krajeńskim, we wschodniej części miasta na południowy wschód od ulicy Tadeusza Kościuszki, tj. drogi publicznej wojewódzkiej nr 241, i na południowy zachód od ulic Zakładowej </w:t>
      </w:r>
      <w:r>
        <w:rPr>
          <w:rFonts w:ascii="Times New Roman" w:hAnsi="Times New Roman"/>
          <w:sz w:val="24"/>
          <w:lang w:val="pl-PL" w:bidi="pl-PL" w:eastAsia="pl-PL"/>
        </w:rPr>
        <w:t xml:space="preserve"> </w:t>
      </w:r>
      <w:r>
        <w:rPr>
          <w:rFonts w:ascii="Times New Roman" w:hAnsi="Times New Roman"/>
          <w:sz w:val="24"/>
        </w:rPr>
        <w:t xml:space="preserve">i Fabrycznej, tj. dróg gminnych wewnętrznych. </w:t>
      </w:r>
    </w:p>
    <w:p>
      <w:pPr>
        <w:spacing w:lineRule="auto" w:line="240" w:before="120" w:after="0" w:beforeAutospacing="0" w:afterAutospacing="0"/>
        <w:ind w:firstLine="709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  <w:lang w:val="pl-PL" w:bidi="pl-PL" w:eastAsia="pl-PL"/>
        </w:rPr>
        <w:t xml:space="preserve">Na w/w obszarze obowiązują </w:t>
      </w:r>
      <w:r>
        <w:rPr>
          <w:rFonts w:ascii="Times New Roman" w:hAnsi="Times New Roman"/>
          <w:sz w:val="24"/>
        </w:rPr>
        <w:t xml:space="preserve">miejscowe plany zagospodarowania przestrzennego terenów:  </w:t>
      </w:r>
    </w:p>
    <w:p>
      <w:pPr>
        <w:numPr>
          <w:ilvl w:val="0"/>
          <w:numId w:val="1"/>
        </w:numPr>
        <w:ind w:hanging="295" w:left="295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</w:rPr>
        <w:t xml:space="preserve">przy ulicy T. Kościuszki w Sępólnie Krajeńskim, uchwalony uchwałą XIV/110/2015 </w:t>
      </w:r>
      <w:r>
        <w:rPr>
          <w:rFonts w:ascii="Times New Roman" w:hAnsi="Times New Roman"/>
          <w:sz w:val="24"/>
          <w:lang w:val="ar-SA" w:bidi="ar-SA" w:eastAsia="ar-SA"/>
        </w:rPr>
        <w:t xml:space="preserve">Rady Miejskiej w </w:t>
      </w:r>
      <w:r>
        <w:rPr>
          <w:rFonts w:ascii="Times New Roman" w:hAnsi="Times New Roman"/>
          <w:sz w:val="24"/>
        </w:rPr>
        <w:t>Sępólnie Krajeńskim</w:t>
      </w:r>
      <w:r>
        <w:rPr>
          <w:rFonts w:ascii="Times New Roman" w:hAnsi="Times New Roman"/>
          <w:sz w:val="24"/>
          <w:lang w:val="ar-SA" w:bidi="ar-SA" w:eastAsia="ar-SA"/>
        </w:rPr>
        <w:t xml:space="preserve"> z dnia 25 listopada 2015 r. (Dz. Urz. Woj. Kuj. - Pom. z dnia 03 grudnia 2015 r. poz. 3890);</w:t>
      </w:r>
    </w:p>
    <w:p>
      <w:pPr>
        <w:numPr>
          <w:ilvl w:val="0"/>
          <w:numId w:val="1"/>
        </w:numPr>
        <w:ind w:hanging="295" w:left="295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</w:rPr>
        <w:t xml:space="preserve">zabudowy rzemieślniczej w Sępólnie Krajeńskim, uchwalony uchwałą </w:t>
      </w:r>
      <w:r>
        <w:rPr>
          <w:rFonts w:ascii="Times New Roman" w:hAnsi="Times New Roman"/>
          <w:sz w:val="24"/>
          <w:lang w:val="ar-SA" w:bidi="ar-SA" w:eastAsia="ar-SA"/>
        </w:rPr>
        <w:t xml:space="preserve">Nr XX/162/08 Rady Miejskiej w </w:t>
      </w:r>
      <w:r>
        <w:rPr>
          <w:rFonts w:ascii="Times New Roman" w:hAnsi="Times New Roman"/>
          <w:sz w:val="24"/>
        </w:rPr>
        <w:t>Sępólnie Krajeńskim</w:t>
      </w:r>
      <w:r>
        <w:rPr>
          <w:rFonts w:ascii="Times New Roman" w:hAnsi="Times New Roman"/>
          <w:sz w:val="24"/>
          <w:lang w:val="ar-SA" w:bidi="ar-SA" w:eastAsia="ar-SA"/>
        </w:rPr>
        <w:t xml:space="preserve"> z dnia 29 maja 2008 r. (Dz. Urz. Woj. Kuj. - Pom. Nr 100 poz. 1579 z dnia 30 lipca 2008 r.).</w:t>
      </w:r>
    </w:p>
    <w:p>
      <w:pPr>
        <w:spacing w:lineRule="auto" w:line="240" w:before="120" w:after="0" w:beforeAutospacing="0" w:afterAutospacing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Style w:val="C3"/>
          <w:rFonts w:ascii="Times New Roman" w:hAnsi="Times New Roman"/>
          <w:sz w:val="24"/>
          <w:lang w:val="en-US" w:bidi="en-US" w:eastAsia="en-US"/>
        </w:rPr>
        <w:t xml:space="preserve">O zmianę w/w planów wystąpił właściciel działek </w:t>
      </w:r>
      <w:r>
        <w:rPr>
          <w:rFonts w:ascii="Times New Roman" w:hAnsi="Times New Roman"/>
          <w:sz w:val="24"/>
        </w:rPr>
        <w:t xml:space="preserve">nr nr 17/1, 17/2, 17/3, 17/4, 23, 24, 25, 27/3, 27/4,  27/9 i 29/2,</w:t>
      </w:r>
      <w:r>
        <w:rPr>
          <w:rStyle w:val="C3"/>
          <w:rFonts w:ascii="Times New Roman" w:hAnsi="Times New Roman"/>
          <w:sz w:val="24"/>
          <w:lang w:val="en-US" w:bidi="en-US" w:eastAsia="en-US"/>
        </w:rPr>
        <w:t xml:space="preserve"> który wnioskował o opracowanie miejscowego planu zagospodarowania przestrzennego terenu na cały obszar stanowiący jego własność w celu ujednolicenia zapisów w jego granicach. </w:t>
      </w:r>
    </w:p>
    <w:p>
      <w:pPr>
        <w:widowControl w:val="0"/>
        <w:tabs>
          <w:tab w:val="left" w:pos="709" w:leader="none"/>
        </w:tabs>
        <w:spacing w:lineRule="auto" w:line="240" w:before="120" w:after="0" w:beforeAutospacing="0" w:afterAutospacing="0"/>
        <w:ind w:right="204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  <w:lang w:val="pl-PL" w:bidi="pl-PL" w:eastAsia="pl-PL"/>
        </w:rPr>
        <w:tab/>
        <w:t>Na podstawie art. 27 ustawy z dnia 27 marca 2003 r. o planowaniu i zagospodarowaniu przestrzennym zmiana miejscowego planu zagospodarowania przestrzennego następuje w takim trybie w jakim jest on uchwalany, a po uprawomocnieniu się przedmiotowego planu w/w obowiązujący plan utraci moc w części, w granicach obszaru objętego planem miejscowym, w obrębie których będą obowiązywały ustalenia przedmiotowego planu.</w:t>
      </w:r>
    </w:p>
    <w:p>
      <w:pPr>
        <w:spacing w:lineRule="auto" w:line="240" w:before="120" w:after="0" w:beforeAutospacing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pl-PL" w:bidi="pl-PL" w:eastAsia="pl-PL"/>
        </w:rPr>
        <w:t xml:space="preserve">Zgodnie z aktualnie obowiązującym „Studium uwarunkowań i kierunków zagospodarowania przestrzennego Miasta i Gminy Sępólno Krajeńskie”, uchwalonym uchwałą </w:t>
      </w:r>
      <w:r>
        <w:rPr>
          <w:rFonts w:ascii="Times New Roman" w:hAnsi="Times New Roman"/>
          <w:sz w:val="24"/>
        </w:rPr>
        <w:t>Nr XLIX/391/2018 Rady Miejskiej w Sępólnie Krajeńskim z dnia 26 września 2018 r.</w:t>
      </w:r>
      <w:r>
        <w:rPr>
          <w:rFonts w:ascii="Times New Roman" w:hAnsi="Times New Roman"/>
          <w:sz w:val="24"/>
          <w:lang w:val="pl-PL" w:bidi="pl-PL" w:eastAsia="pl-PL"/>
        </w:rPr>
        <w:t>,</w:t>
      </w:r>
      <w:r>
        <w:rPr>
          <w:rFonts w:ascii="Times New Roman" w:hAnsi="Times New Roman"/>
          <w:sz w:val="24"/>
        </w:rPr>
        <w:t xml:space="preserve"> zmienionym uchwałą Nr XXVIII/261/2021 Rady Miejskiej w Sępólnie Krajeńskim z dnia 27 stycznia 2021 r., </w:t>
      </w:r>
      <w:r>
        <w:rPr>
          <w:rFonts w:ascii="Times New Roman" w:hAnsi="Times New Roman"/>
          <w:sz w:val="24"/>
          <w:lang w:val="pl-PL" w:bidi="pl-PL" w:eastAsia="pl-PL"/>
        </w:rPr>
        <w:t xml:space="preserve">przedmiotowy teren </w:t>
      </w:r>
      <w:r>
        <w:rPr>
          <w:rFonts w:ascii="Times New Roman" w:hAnsi="Times New Roman"/>
          <w:sz w:val="24"/>
        </w:rPr>
        <w:t xml:space="preserve">oznaczony jest na rysunku studium literami </w:t>
      </w:r>
      <w:r>
        <w:rPr>
          <w:rFonts w:ascii="Times New Roman" w:hAnsi="Times New Roman"/>
          <w:b w:val="1"/>
          <w:sz w:val="24"/>
        </w:rPr>
        <w:t>AG</w:t>
      </w:r>
      <w:r>
        <w:rPr>
          <w:rFonts w:ascii="Times New Roman" w:hAnsi="Times New Roman"/>
          <w:sz w:val="24"/>
        </w:rPr>
        <w:t xml:space="preserve"> jako obszar aktywności gospodarczej, na którym ustalono:</w:t>
      </w:r>
    </w:p>
    <w:p>
      <w:pPr>
        <w:numPr>
          <w:ilvl w:val="0"/>
          <w:numId w:val="2"/>
        </w:numPr>
        <w:tabs>
          <w:tab w:val="left" w:pos="0" w:leader="none"/>
          <w:tab w:val="left" w:pos="284" w:leader="none"/>
        </w:tabs>
        <w:ind w:hanging="284"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dominujące przeznaczenie terenów: zabudowa produkcyjna oraz przemysłowa, usługi, bazy, składy i magazyny;</w:t>
      </w:r>
    </w:p>
    <w:p>
      <w:pPr>
        <w:numPr>
          <w:ilvl w:val="0"/>
          <w:numId w:val="2"/>
        </w:numPr>
        <w:tabs>
          <w:tab w:val="left" w:pos="0" w:leader="none"/>
          <w:tab w:val="left" w:pos="284" w:leader="none"/>
          <w:tab w:val="left" w:pos="3692" w:leader="none"/>
        </w:tabs>
        <w:ind w:hanging="284" w:left="284"/>
        <w:jc w:val="both"/>
        <w:rPr>
          <w:rStyle w:val="C3"/>
          <w:rFonts w:ascii="Times New Roman" w:hAnsi="Times New Roman"/>
          <w:sz w:val="24"/>
          <w:lang w:val="en-US" w:bidi="en-US" w:eastAsia="en-US"/>
        </w:rPr>
      </w:pPr>
      <w:r>
        <w:rPr>
          <w:rStyle w:val="C3"/>
          <w:rFonts w:ascii="Times New Roman" w:hAnsi="Times New Roman"/>
          <w:sz w:val="24"/>
          <w:lang w:val="en-US" w:bidi="en-US" w:eastAsia="en-US"/>
        </w:rPr>
        <w:t>parametry i wskaźniki kształtowania zabudowy oraz zagospodarowania terenu:</w:t>
      </w:r>
    </w:p>
    <w:p>
      <w:pPr>
        <w:numPr>
          <w:ilvl w:val="0"/>
          <w:numId w:val="3"/>
        </w:numPr>
        <w:tabs>
          <w:tab w:val="left" w:pos="567" w:leader="none"/>
        </w:tabs>
        <w:ind w:hanging="284"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maksymalna wysokość zabudowy – 3 kondygnacje lecz nie więcej niż 30 m,</w:t>
      </w:r>
    </w:p>
    <w:p>
      <w:pPr>
        <w:numPr>
          <w:ilvl w:val="0"/>
          <w:numId w:val="3"/>
        </w:numPr>
        <w:tabs>
          <w:tab w:val="left" w:pos="567" w:leader="none"/>
        </w:tabs>
        <w:ind w:hanging="284"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minimalny % powierzchni biologicznie czynnej działki – 15%,</w:t>
      </w:r>
    </w:p>
    <w:p>
      <w:pPr>
        <w:numPr>
          <w:ilvl w:val="0"/>
          <w:numId w:val="3"/>
        </w:numPr>
        <w:tabs>
          <w:tab w:val="left" w:pos="567" w:leader="none"/>
        </w:tabs>
        <w:ind w:hanging="284"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maksymalny % powierzchni zabudowy na działce – 80%.</w:t>
      </w:r>
    </w:p>
    <w:p>
      <w:pPr>
        <w:tabs>
          <w:tab w:val="left" w:pos="0" w:leader="none"/>
          <w:tab w:val="left" w:pos="1278" w:leader="none"/>
          <w:tab w:val="left" w:pos="3692" w:leader="none"/>
        </w:tabs>
        <w:spacing w:lineRule="auto" w:line="240" w:before="120" w:after="0" w:beforeAutospacing="0" w:afterAutospacing="0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pl-PL" w:bidi="pl-PL" w:eastAsia="pl-PL"/>
        </w:rPr>
        <w:t xml:space="preserve">W związku z powyższym przeznaczenie </w:t>
      </w:r>
      <w:r>
        <w:rPr>
          <w:rFonts w:ascii="Times New Roman" w:hAnsi="Times New Roman"/>
          <w:sz w:val="24"/>
        </w:rPr>
        <w:t xml:space="preserve">terenu pod teren usług lub produkcji </w:t>
      </w:r>
      <w:r>
        <w:rPr>
          <w:rFonts w:ascii="Times New Roman" w:hAnsi="Times New Roman"/>
          <w:sz w:val="24"/>
          <w:lang w:val="pl-PL" w:bidi="pl-PL" w:eastAsia="pl-PL"/>
        </w:rPr>
        <w:t>jest zgodne z polityką przestrzenną gminy określoną w w/w studium, które wiąże wewnętrznie organ gminy w jej planach przy sporządzaniu projektów planów miejscowych, i plan</w:t>
      </w:r>
      <w:r>
        <w:rPr>
          <w:rFonts w:ascii="Times New Roman" w:hAnsi="Times New Roman"/>
          <w:sz w:val="24"/>
        </w:rPr>
        <w:t xml:space="preserve"> nie narusza ustaleń studium. </w:t>
      </w:r>
    </w:p>
    <w:p>
      <w:pPr>
        <w:shd w:val="clear" w:fill="FFFFFF"/>
        <w:spacing w:lineRule="auto" w:line="240" w:before="120" w:after="0" w:beforeAutospacing="0" w:afterAutospacing="0"/>
        <w:ind w:firstLine="709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  <w:lang w:val="pl-PL" w:bidi="pl-PL" w:eastAsia="pl-PL"/>
        </w:rPr>
        <w:t xml:space="preserve">Po przeprowadzeniu procedury planistycznej, zgodnie z ustawą z dnia 27 marca 2003 r.  </w:t>
        <w:br w:type="textWrapping"/>
        <w:t xml:space="preserve">o planowaniu i zagospodarowaniu przestrzennym, a także strategicznej oceny oddziaływania </w:t>
        <w:br w:type="textWrapping"/>
        <w:t>na środowisko, zgodnie z ustawą z dnia 3 października 2008 r. o udostępnianiu informacji o środowisku i jego ochronie, udziale społeczeństwa w ochronie środowiska oraz o ocenach oddziaływania na środowisko, projekt planu został przedstawiony do uchwalenia wraz z rozstrzygnięciem rozpatrzenia uwag i rozstrzygnięciem o sposobie realizacji zapisanych w planie inwestycji z zakresu infrastruktury technicznej, które należą do zadań własnych gminy oraz zasadach ich finansowania.</w:t>
      </w:r>
    </w:p>
    <w:p>
      <w:pPr>
        <w:tabs>
          <w:tab w:val="left" w:pos="426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</w:p>
    <w:p>
      <w:pPr>
        <w:numPr>
          <w:ilvl w:val="0"/>
          <w:numId w:val="4"/>
        </w:numPr>
        <w:tabs>
          <w:tab w:val="left" w:pos="426" w:leader="none"/>
        </w:tabs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Sposób realizacji wymogów wynikających z art. 1 ust. 2 - 4</w:t>
      </w:r>
    </w:p>
    <w:p>
      <w:pPr>
        <w:tabs>
          <w:tab w:val="left" w:pos="426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</w:p>
    <w:p>
      <w:pPr>
        <w:tabs>
          <w:tab w:val="left" w:pos="284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</w:t>
        <w:tab/>
        <w:t>Wymagania ładu przestrzennego, w tym urbanistyki i architektury.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Wymagania te uwzględniono określając przeznaczenia terenów w § 6 ust. 1, a także zasady ochrony </w:t>
        <w:br w:type="textWrapping"/>
        <w:t xml:space="preserve">i kształtowania ładu przestrzennego w § 6 ust. 2 odnośnie uwzględnienia przebiegu istniejących sieci infrastruktury technicznej oraz  dopuszczenia budowy urządzeń budowlanych i sieci uzbrojenia terenu, podpiwniczeń, a także wprowadzenia zieleni, wraz z zasadami ustalonymi w </w:t>
      </w:r>
      <w:r>
        <w:rPr>
          <w:rFonts w:ascii="Times New Roman" w:hAnsi="Times New Roman"/>
          <w:i w:val="1"/>
          <w:sz w:val="24"/>
        </w:rPr>
        <w:t>Rozdziale 3</w:t>
      </w:r>
      <w:r>
        <w:rPr>
          <w:rFonts w:ascii="Times New Roman" w:hAnsi="Times New Roman"/>
          <w:sz w:val="24"/>
        </w:rPr>
        <w:t xml:space="preserve"> uchwały dla poszczególnych terenów w zakresie możliwości zabudowy i zagospodarowania tych terenów oraz dopuszczonych działań, zasady kształtowania zabudowy oraz wskaźniki zagospodarowania terenu w § 6 ust. 7, § 7 ust. 3 i § 8 ust. 3.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Ustalone parametry zabudowy oraz wskaźniki urbanistyczne korelują z istniejąca zabudową przyczyniając się do harmonijnego kształtowania przestrzeni.</w:t>
      </w:r>
    </w:p>
    <w:p>
      <w:pPr>
        <w:spacing w:lineRule="auto" w:line="240" w:after="0" w:beforeAutospacing="0" w:afterAutospacing="0"/>
        <w:ind w:hanging="284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</w:t>
        <w:tab/>
        <w:t>Walory architektoniczne i krajobrazowe.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Walory architektoniczne i krajobrazowe obszaru opracowania planu są chronione poprzez ustalenie zasad ochrony i kształtowania ładu przestrzennego w § 6 ust. 2 wraz z zasadami ustalonymi </w:t>
        <w:br w:type="textWrapping"/>
        <w:t xml:space="preserve">w </w:t>
      </w:r>
      <w:r>
        <w:rPr>
          <w:rFonts w:ascii="Times New Roman" w:hAnsi="Times New Roman"/>
          <w:i w:val="1"/>
          <w:sz w:val="24"/>
        </w:rPr>
        <w:t>Rozdziale 3</w:t>
      </w:r>
      <w:r>
        <w:rPr>
          <w:rFonts w:ascii="Times New Roman" w:hAnsi="Times New Roman"/>
          <w:sz w:val="24"/>
        </w:rPr>
        <w:t xml:space="preserve"> uchwały dla poszczególnych terenów, a także zasad kształtowania zabudowy </w:t>
        <w:br w:type="textWrapping"/>
        <w:t>oraz wskaźników zagospodarowania terenu w § 6 ust. 7, § 7 ust. 3 i § 8 ust. 3.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obszarze opracowania planu ustalono maksymalną wysokość zabudowy do 30,0 m z wyłączeniem inwestycji telekomunikacyjnych realizowanych zgodnie z przepisami odrębnymi, w tym dla budynków </w:t>
      </w:r>
      <w:r>
        <w:rPr>
          <w:rFonts w:ascii="Times New Roman" w:hAnsi="Times New Roman"/>
          <w:sz w:val="24"/>
          <w:lang w:val="pl-PL" w:bidi="pl-PL" w:eastAsia="pl-PL"/>
        </w:rPr>
        <w:t>do 30,0 m na terenie 1U-P i do 4,0 m na ternie 2IE.</w:t>
      </w:r>
      <w:r>
        <w:rPr>
          <w:rFonts w:ascii="Times New Roman" w:hAnsi="Times New Roman"/>
          <w:sz w:val="24"/>
          <w:lang w:val="zh-CN" w:bidi="zh-CN" w:eastAsia="zh-CN"/>
        </w:rPr>
        <w:t xml:space="preserve"> </w:t>
      </w:r>
      <w:r>
        <w:rPr>
          <w:rFonts w:ascii="Times New Roman" w:hAnsi="Times New Roman"/>
          <w:sz w:val="24"/>
        </w:rPr>
        <w:t xml:space="preserve">Ustalono także intensywność zabudowy do 3,2 (nadziemna od 0,1 do 2,4) na terenie 1U-P i do 0,95 (nadziemna do 0,95) na terenie 2IE, maksymalną powierzchnię zabudowy do 80% na terenie 1U-P i 95% na terenie 2IE. Przyjęte parametry i wskaźniki pozwolą na harmonijny rozwój zabudowy w obszarze opracowania planu w korelacji z otoczeniem.  Ze względu na aktualne wymagania prawne – uchwała o przystąpieniu do sporządzania planu została podjęta po dacie wejścia w życie ustawy z</w:t>
      </w:r>
      <w:r>
        <w:rPr>
          <w:rFonts w:ascii="Times New Roman" w:hAnsi="Times New Roman"/>
          <w:sz w:val="24"/>
          <w:lang w:val="pl-PL" w:bidi="pl-PL" w:eastAsia="pl-PL"/>
        </w:rPr>
        <w:t xml:space="preserve"> </w:t>
      </w:r>
      <w:r>
        <w:rPr>
          <w:rFonts w:ascii="Times New Roman" w:hAnsi="Times New Roman"/>
          <w:sz w:val="24"/>
        </w:rPr>
        <w:t xml:space="preserve">dn. 24 kwietnia 2015 r. o zmianie niektórych ustaw w związku ze wzmocnieniem narzędzi ochrony krajobrazu (Dz. U. z 2015 r., poz. 774) – nie można w ustaleniach planu umieszczać ustaleń wynikających z dotychczasowego art. 15 ust 3 pkt 9 ustawy o planowaniu i zagospodarowaniu przestrzennym (został on uchylony) dotyczących zasad i warunków sytuowania obiektów małej architektury, tablic i urządzeń reklamowych oraz ogrodzeń, ich gabarytów, standardów jakościowych oraz rodzajów materiałów budowlanych, z jakich mogą być wykonane. Kwestie te będą mogły być regulowane przepisami odpowiedniej uchwały Rady Miejskiej w Sępólnie Krajeńskim, podjętej na podstawie tzw. ustawy krajobrazowej. 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Zgodnie z audytem krajobrazowym dla województwa kujawsko - pomorskiego uchwalonym uchwałą Nr LXI/851/23 Sejmiku Województwa Kujawsko - Pomorskiego z dnia 25 września 2023 r., który wszedł w życie 25 grudnia 2023 r., obszar położony w granicach uchwalenia planu miejscowego znajduje się w granicach krajobrazów oznaczonych kodami 04-314.69-40 i 04-314.69-41, ale nie są to krajobrazy priorytetowe. Obszar objęty opracowaniem planu nie znalazł się także w obrębie obszarów lub obiektów, o których mowa w art. 38a ust. 3 pkt 2 ustawy z dnia 27 marca 2003 r. o planowaniu i zagospodarowaniu przestrzennym, dla których zgodnie z art. 38a ust. 3 pkt 3 w/w ustawy określa się rekomendacje i wnioski dotyczące kształtowania i ochrony krajobrazów.</w:t>
      </w:r>
    </w:p>
    <w:p>
      <w:pPr>
        <w:spacing w:lineRule="auto" w:line="240" w:after="0" w:beforeAutospacing="0" w:afterAutospacing="0"/>
        <w:ind w:hanging="284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</w:t>
        <w:tab/>
        <w:t>Wymagania ochrony środowiska, w tym gospodarowania wodami.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Wymagania te uwzględniono poprzez ustalenie zasad ochrony środowiska, przyrody i krajobrazu </w:t>
        <w:br w:type="textWrapping"/>
        <w:t xml:space="preserve">w § 6 ust. 3, </w:t>
      </w:r>
      <w:r>
        <w:rPr>
          <w:rFonts w:ascii="Times New Roman" w:hAnsi="Times New Roman"/>
          <w:sz w:val="24"/>
          <w:lang w:val="zh-CN" w:bidi="zh-CN" w:eastAsia="zh-CN"/>
        </w:rPr>
        <w:t>szczególnych warunków zagospodarowania terenów oraz ograniczenia w ich użytkowaniu</w:t>
      </w:r>
      <w:r>
        <w:rPr>
          <w:rFonts w:ascii="Times New Roman" w:hAnsi="Times New Roman"/>
          <w:sz w:val="24"/>
        </w:rPr>
        <w:t xml:space="preserve"> w § 6 ust. 10</w:t>
      </w:r>
      <w:r>
        <w:rPr>
          <w:rFonts w:ascii="Times New Roman" w:hAnsi="Times New Roman"/>
          <w:sz w:val="24"/>
          <w:lang w:val="pl-PL" w:bidi="pl-PL" w:eastAsia="pl-PL"/>
        </w:rPr>
        <w:t xml:space="preserve">, </w:t>
      </w:r>
      <w:r>
        <w:rPr>
          <w:rFonts w:ascii="Times New Roman" w:hAnsi="Times New Roman"/>
          <w:sz w:val="24"/>
        </w:rPr>
        <w:t>a także zasad modernizacji, rozbudowy i budowy systemów komunikacji i infrastruktury technicznej w § 6 ust. 11.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obszarze planu nie występują formy ochrony przyrody wymienione w art. 6 ust. 1 ustawy </w:t>
        <w:br w:type="textWrapping"/>
        <w:t xml:space="preserve">z dnia 16 kwietnia 2004 r. o ochronie przyrody. 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W obszarze wydzielonych terenów inwestycyjnych ustalono minimalną powierzchnię biologicznie czynną jako 15% powierzchni działki budowlanej na terenie 1U-P i 0% powierzchni działki budowlanej na terenie 2IE. Ustalono zakaz realizacji przedsięwzięć mogących zawsze znacząco oddziaływać na środowisko wymienionych w przepisach odrębnych z wyłączeniem inwestycji telekomunikacyjnych realizowanych zgodnie z przepisami odrębnymi oraz niezbędnych sieci uzbrojenia terenu, a także lokalizacji zakładów o zwiększonym lub dużym ryzyku wystąpienia poważnych awarii wymienionych w przepisach odrębnych oraz stwarzających zagrożenie dla życia lub zdrowia ludzi. P</w:t>
      </w:r>
      <w:r>
        <w:rPr>
          <w:rFonts w:ascii="Times New Roman" w:hAnsi="Times New Roman"/>
          <w:sz w:val="24"/>
          <w:lang w:val="pl-PL" w:bidi="pl-PL" w:eastAsia="pl-PL"/>
        </w:rPr>
        <w:t>rojektowane użytkowanie i zagospodarowanie terenu nie może stanowić źródła zanieczyszczeń dla środowiska wodno – gruntowego – należy zastosować takie rozwiązania techniczne, technologiczne i organizacyjne, aby przeciwdziałać zagrożeniom środowiskowym. Wody opadowe i roztopowe z utwardzonych nawierzchni dróg, parkingów, placów manewrowych i innych zanieczyszczonych, przed odprowadzeniem do odbiornika muszą spełniać wymagania określone w przepisach odrębnych.</w:t>
      </w:r>
    </w:p>
    <w:p>
      <w:pPr>
        <w:spacing w:lineRule="auto" w:line="240" w:after="0" w:beforeAutospacing="0" w:afterAutospacing="0"/>
        <w:ind w:hanging="284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</w:t>
        <w:tab/>
        <w:t>Wymagania ochrony gruntów rolnych i leśnych.</w:t>
      </w:r>
    </w:p>
    <w:p>
      <w:pPr>
        <w:tabs>
          <w:tab w:val="left" w:pos="567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Teren objęty opracowaniem planu nie wymaga uzyskania zgody na zmianę przeznaczenia gruntów rolnych i leśnych na cele nierolnicze i nieleśne w kontekście przepisów ustawy z dnia 3 lutego </w:t>
        <w:br w:type="textWrapping"/>
        <w:t>1995 r. o ochronie gruntów rolnych i leśnych.</w:t>
      </w:r>
    </w:p>
    <w:p>
      <w:pPr>
        <w:spacing w:lineRule="auto" w:line="240" w:after="0" w:beforeAutospacing="0" w:afterAutospacing="0"/>
        <w:ind w:hanging="284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</w:t>
        <w:tab/>
        <w:t>Wymagania ochrony dziedzictwa kulturowego i zabytków oraz dóbr kultury współczesnej.</w:t>
      </w:r>
    </w:p>
    <w:p>
      <w:pPr>
        <w:tabs>
          <w:tab w:val="left" w:pos="426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pl-PL" w:bidi="pl-PL" w:eastAsia="pl-PL"/>
        </w:rPr>
        <w:t>N</w:t>
      </w:r>
      <w:r>
        <w:rPr>
          <w:rFonts w:ascii="Times New Roman" w:hAnsi="Times New Roman"/>
          <w:sz w:val="24"/>
        </w:rPr>
        <w:t>ie ustalono wymagań z uwagi na brak występowania obiektów zabytkowych, parków kulturowych, stref ochrony konserwatorskiej i archeologicznej.</w:t>
      </w:r>
    </w:p>
    <w:p>
      <w:pPr>
        <w:spacing w:lineRule="auto" w:line="240" w:after="0" w:beforeAutospacing="0" w:afterAutospacing="0"/>
        <w:ind w:hanging="284" w:left="284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</w:t>
        <w:tab/>
        <w:t>Wymagania ochrony zdrowia oraz bezpieczeństwa ludzi i mienia, a także potrzeby osób niepełnosprawnych.</w:t>
      </w:r>
    </w:p>
    <w:p>
      <w:pPr>
        <w:widowControl w:val="0"/>
        <w:suppressAutoHyphens w:val="1"/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Wymagania te zostały uwzględnione poprzez ustalenie zasad ochrony i kształtowania ładu przestrzennego w § 6 ust. 2 wraz z zasadami ustalonymi w </w:t>
      </w:r>
      <w:r>
        <w:rPr>
          <w:rFonts w:ascii="Times New Roman" w:hAnsi="Times New Roman"/>
          <w:i w:val="1"/>
          <w:sz w:val="24"/>
        </w:rPr>
        <w:t>Rozdziale 3</w:t>
      </w:r>
      <w:r>
        <w:rPr>
          <w:rFonts w:ascii="Times New Roman" w:hAnsi="Times New Roman"/>
          <w:sz w:val="24"/>
        </w:rPr>
        <w:t xml:space="preserve"> uchwały dla poszczególnych terenów, zasad ochrony środowiska, przyrody i krajobrazu w § 6 ust. 3, a także zasad kształtowania zabudowy oraz wskaźników zagospodarowania terenu w § 6 ust. 7, § 7 ust. 3 i § 8 ust. 3, </w:t>
      </w:r>
      <w:r>
        <w:rPr>
          <w:rFonts w:ascii="Times New Roman" w:hAnsi="Times New Roman"/>
          <w:sz w:val="24"/>
          <w:lang w:val="zh-CN" w:bidi="zh-CN" w:eastAsia="zh-CN"/>
        </w:rPr>
        <w:t>szczególnych warunków zagospodarowania terenów oraz ograniczenia w ich użytkowaniu</w:t>
      </w:r>
      <w:r>
        <w:rPr>
          <w:rFonts w:ascii="Times New Roman" w:hAnsi="Times New Roman"/>
          <w:sz w:val="24"/>
        </w:rPr>
        <w:t xml:space="preserve"> w § 6 ust. 10 i § 7 ust. 4</w:t>
      </w:r>
      <w:r>
        <w:rPr>
          <w:rFonts w:ascii="Times New Roman" w:hAnsi="Times New Roman"/>
          <w:sz w:val="24"/>
          <w:lang w:val="pl-PL" w:bidi="pl-PL" w:eastAsia="pl-PL"/>
        </w:rPr>
        <w:t xml:space="preserve">, </w:t>
      </w:r>
      <w:r>
        <w:rPr>
          <w:rFonts w:ascii="Times New Roman" w:hAnsi="Times New Roman"/>
          <w:sz w:val="24"/>
        </w:rPr>
        <w:t xml:space="preserve">a także zasad modernizacji, rozbudowy i budowy systemów komunikacji i infrastruktury technicznej w § 6 ust. 11, w tym konieczność zapewnienia odpowiedniej ilości wody dla celów przeciwpożarowych do zewnętrznego gaszenia pożaru dla terenów i obiektów oraz dróg pożarowych zgodnie z przepisami odrębnymi. Obszar opracowania nie jest położony w obszarach osuwania się mas ziemnych, szczególnego zagrożenia powodzią, nie występują w jego granicach ani w bezpośrednim sąsiedztwie tereny górnicze i obiekty stwarzające zagrożenie wystąpienia poważnych awarii. Ochronie zdrowia służą zapisy nakazujące zaopatrzenie w wodę z gminnej sieci wodociągowej oraz odprowadzenie ścieków do gminnego systemu kanalizacji sanitarnej.  W celu zapewnienia potrzeb osób niepełnosprawnych projekt planu ustala wymagane miejsca parkingowe dla</w:t>
      </w:r>
      <w:r>
        <w:rPr>
          <w:rFonts w:ascii="Times New Roman" w:hAnsi="Times New Roman"/>
          <w:sz w:val="24"/>
          <w:lang w:val="zh-CN" w:bidi="zh-CN" w:eastAsia="zh-CN"/>
        </w:rPr>
        <w:t xml:space="preserve"> pojazdów zaopatrzonych w kartę parkingową </w:t>
      </w:r>
      <w:r>
        <w:rPr>
          <w:rFonts w:ascii="Times New Roman" w:hAnsi="Times New Roman"/>
          <w:sz w:val="24"/>
        </w:rPr>
        <w:t xml:space="preserve">w ilości </w:t>
      </w:r>
      <w:r>
        <w:rPr>
          <w:rFonts w:ascii="Times New Roman" w:hAnsi="Times New Roman"/>
          <w:sz w:val="24"/>
          <w:lang w:val="zh-CN" w:bidi="zh-CN" w:eastAsia="zh-CN"/>
        </w:rPr>
        <w:t>zgodnej z przepisami odrębnymi.</w:t>
      </w:r>
      <w:r>
        <w:rPr>
          <w:rFonts w:ascii="Times New Roman" w:hAnsi="Times New Roman"/>
          <w:sz w:val="24"/>
        </w:rPr>
        <w:t xml:space="preserve"> Ponadto wymagania osób niepełnosprawnych będą spełnione w ramach projektów budowlanych zgodnie z przepisami odrębnymi. Kompleksowa ocena oddziaływania ustaleń planu na środowisko, w tym w zakresie wymagań ochrony zdrowia, była przedmiotem sporządzonej prognozy oddziaływania na środowisko.</w:t>
      </w:r>
    </w:p>
    <w:p>
      <w:pPr>
        <w:spacing w:lineRule="auto" w:line="240" w:after="0" w:beforeAutospacing="0" w:afterAutospacing="0"/>
        <w:ind w:hanging="284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7.</w:t>
        <w:tab/>
        <w:t>Walory ekonomiczne przestrzeni.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Uchwalenie planu miejscowego pozwoli na lepsze, bardziej racjonalne i efektywniejsze wykorzystanie</w:t>
      </w:r>
      <w:r>
        <w:rPr>
          <w:rFonts w:ascii="Times New Roman" w:hAnsi="Times New Roman"/>
          <w:sz w:val="24"/>
          <w:lang w:val="pl-PL" w:bidi="pl-PL" w:eastAsia="pl-PL"/>
        </w:rPr>
        <w:t xml:space="preserve"> </w:t>
      </w:r>
      <w:r>
        <w:rPr>
          <w:rFonts w:ascii="Times New Roman" w:hAnsi="Times New Roman"/>
          <w:sz w:val="24"/>
        </w:rPr>
        <w:t xml:space="preserve">walorów ekonomicznych terenu, dzięki umożliwieniu prowadzenia procesów inwestycyjnych zgodnych z dyspozycją studium, wolą inwestora (właściciela terenu) oraz stanem faktycznym zagospodarowania w otoczeniu. Walory te zostały uwzględnione poprzez ustalenie zasad ochrony i kształtowania ładu przestrzennego w § 6 ust. 2 wraz z zasadami ustalonymi w </w:t>
      </w:r>
      <w:r>
        <w:rPr>
          <w:rFonts w:ascii="Times New Roman" w:hAnsi="Times New Roman"/>
          <w:i w:val="1"/>
          <w:sz w:val="24"/>
        </w:rPr>
        <w:t>Rozdziale 3</w:t>
      </w:r>
      <w:r>
        <w:rPr>
          <w:rFonts w:ascii="Times New Roman" w:hAnsi="Times New Roman"/>
          <w:sz w:val="24"/>
        </w:rPr>
        <w:t xml:space="preserve"> uchwały dla poszczególnych terenów, zasad ochrony środowiska, przyrody i krajobrazu w § 6 ust. 3, zasad kształtowania zabudowy oraz wskaźników zagospodarowania terenu w § 6 ust. 7, § 7 ust. 3 i § 8 ust. 3, zasad modernizacji, rozbudowy i budowy systemów komunikacji i infrastruktury technicznej w § 6 ust. 11, stawek procentowych, na podstawie których ustala się opłatę, o której mowa w art. 36 ust. 4 ustawy o planowaniu i zagospodarowaniu przestrzennym w § 6 ust. 13. Uchwalenie planu pozwoli na wykorzystanie terenu, stanowiącego własność prywatną, na cele zgodne z potrzebami właściciela, co spowoduje wzrost wartości nieruchomości.</w:t>
      </w:r>
    </w:p>
    <w:p>
      <w:pPr>
        <w:spacing w:lineRule="auto" w:line="240" w:after="0" w:beforeAutospacing="0" w:afterAutospacing="0"/>
        <w:ind w:hanging="284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8.</w:t>
        <w:tab/>
        <w:t>Prawo własności.</w:t>
      </w:r>
    </w:p>
    <w:p>
      <w:pPr>
        <w:tabs>
          <w:tab w:val="left" w:pos="709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Uszanowano prawo do własności wynikające z art. 64 Konstytucji Rzeczpospolitej Polskiej </w:t>
        <w:br w:type="textWrapping"/>
        <w:t xml:space="preserve">oraz z art. 6 ustawy o planowaniu i zagospodarowaniu przestrzennym, w którym zapisano, że każdy ma prawo w granicach określonych ustawą do zagospodarowania terenu, do którego ma tytuł prawny, zgodnie z warunkami ustalonymi w miejscowym planie zagospodarowania przestrzennego terenu, jeżeli nie narusza to chronionego prawem interesu publicznego osób trzecich. W okresie konsultacji społecznych przeprowadzonych w dniach od 01 września 2025 r. do 10 października 2025 r. </w:t>
      </w:r>
      <w:r>
        <w:rPr>
          <w:rFonts w:ascii="Times New Roman" w:hAnsi="Times New Roman"/>
          <w:sz w:val="24"/>
          <w:lang w:val="pl-PL" w:bidi="pl-PL" w:eastAsia="pl-PL"/>
        </w:rPr>
        <w:t xml:space="preserve">nie wpłynęły żadne uwagi, co dokładnie opisano w protokole z czynności przeprowadzonych w ramach konsultacji. </w:t>
      </w:r>
      <w:r>
        <w:rPr>
          <w:rFonts w:ascii="Times New Roman" w:hAnsi="Times New Roman"/>
          <w:sz w:val="24"/>
        </w:rPr>
        <w:t>Ustalenia planu oraz sposób wyznaczenia terenów wydzielonych liniami rozgraniczającymi określono, mając na uwadze poszanowanie prawa własności, w maksymalnie możliwy sposób, uwzględniający złożony wniosek (własność prywatna wnioskującego) oraz przy uwzględnieniu planowanych działań gminy wyrażonych dyspozycjami studium.</w:t>
      </w:r>
      <w:r>
        <w:rPr>
          <w:rFonts w:ascii="Times New Roman" w:hAnsi="Times New Roman"/>
          <w:sz w:val="24"/>
          <w:lang w:val="pl-PL" w:bidi="pl-PL" w:eastAsia="pl-PL"/>
        </w:rPr>
        <w:t xml:space="preserve"> </w:t>
      </w:r>
      <w:r>
        <w:rPr>
          <w:rFonts w:ascii="Times New Roman" w:hAnsi="Times New Roman"/>
          <w:sz w:val="24"/>
        </w:rPr>
        <w:t xml:space="preserve">Z uwagi na stan faktyczny zagospodarowania terenu w otoczeniu i kierunek postępujących przemian, istniejące dogodne uwarunkowania komunikacyjne  oraz wolę właściciela działek objętych planem, zmiana planów miejscowych w zakresie ujednolicenia parametrów bez zmiany przeznaczenia terenu, jest zasadna i nie wpływa negatywnie na prawa własności. W planie miejscowym nie wyznaczono nowych dróg publicznych, w tym gminnych, zatem nie zachodzi konieczność wykupu terenów prywatnych. </w:t>
      </w:r>
    </w:p>
    <w:p>
      <w:pPr>
        <w:spacing w:lineRule="auto" w:line="240" w:after="0" w:beforeAutospacing="0" w:afterAutospacing="0"/>
        <w:ind w:hanging="284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9.</w:t>
        <w:tab/>
        <w:t>Potrzeby obronności i bezpieczeństwa państwa.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Projekt planu nie koliduje z potrzebami obronności i bezpieczeństwa państwa, nie występują tereny zamknięte lub strefy ochronne takich terenów. Nie było potrzeby ustalania wymagań w zakresie obronności i bezpieczeństwa państwa, a projekt planu zostanie uzgodniony przez właściwe organy wojskowe, ochrony granic i bezpieczeństwa państwa.</w:t>
      </w:r>
    </w:p>
    <w:p>
      <w:pPr>
        <w:spacing w:lineRule="auto" w:line="240" w:after="0" w:beforeAutospacing="0" w:afterAutospacing="0"/>
        <w:ind w:hanging="426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10.</w:t>
        <w:tab/>
        <w:t>Potrzeby interesu publicznego.</w:t>
      </w:r>
    </w:p>
    <w:p>
      <w:pPr>
        <w:spacing w:lineRule="auto" w:line="240" w:after="0" w:beforeAutospacing="0" w:afterAutospacing="0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pl-PL" w:bidi="pl-PL" w:eastAsia="pl-PL"/>
        </w:rPr>
        <w:t xml:space="preserve"> </w:t>
      </w:r>
      <w:r>
        <w:rPr>
          <w:rFonts w:ascii="Times New Roman" w:hAnsi="Times New Roman"/>
          <w:sz w:val="24"/>
        </w:rPr>
        <w:t>W obszarze planu nie występują obszary przestrzeni publicznej wyznaczone zgodnie z obowiązującymi przepisami.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Celem planu jest umożliwienie korzystniejszego, zgodnego z potrzebami prywatnego właściciela, zagospodarowania terenu i zabudowy. Potrzeby interesu publicznego zostały uwzględnione poprzez ustalenie warunków zabudowy i zagospodarowania trenu zapewniających zachowanie ładu przestrzennego oraz odpowiedniej ochrony środowiska, a także poprzez ustalenie zasad modernizacji, rozbudowy i budowy systemów komunikacji i infrastruktury technicznej w § 6 ust. 11. Cele publiczne, realizowane przez zapisy planu, to właściwa ochrona krajobrazu poprzez dopuszczoną geometrię dachów, wskaźniki zagospodarowania terenu, jak również ustaloną nieprzekraczalną linię zabudowy wzdłuż dróg.</w:t>
      </w:r>
    </w:p>
    <w:p>
      <w:pPr>
        <w:spacing w:lineRule="auto" w:line="240" w:after="0" w:beforeAutospacing="0" w:afterAutospacing="0"/>
        <w:ind w:hanging="426" w:left="284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11.</w:t>
        <w:tab/>
        <w:t>Potrzeby w zakresie rozwoju infrastruktury technicznej, w szczególności sieci szerokopasmowych.</w:t>
      </w:r>
    </w:p>
    <w:p>
      <w:pPr>
        <w:spacing w:lineRule="auto" w:line="240" w:after="0" w:beforeAutospacing="0" w:afterAutospacing="0"/>
        <w:ind w:firstLine="72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Projekt planu zawiera ustalenia dotyczące zasad modernizacji, rozbudowy i budowy systemów infrastruktury technicznej w § 6 ust. 11, nie ograniczając możliwości realizacji systemów telekomunikacyjnych, w tym szerokopasmowych, zgodnie z przepisami odrębnymi.   </w:t>
      </w:r>
    </w:p>
    <w:p>
      <w:pPr>
        <w:spacing w:lineRule="auto" w:line="240" w:after="0" w:beforeAutospacing="0" w:afterAutospacing="0"/>
        <w:ind w:hanging="426" w:left="284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12.</w:t>
        <w:tab/>
        <w:t>Udział społeczeństwa w pracach nad miejscowym planem zagospodarowania przestrzennego, w tym przy użyciu środków komunikacji elektronicznej. Zachowanie jawności i przejrzystości procedur planistycznych.</w:t>
      </w:r>
    </w:p>
    <w:p>
      <w:pPr>
        <w:spacing w:lineRule="auto" w:line="240" w:after="0" w:beforeAutospacing="0" w:afterAutospacing="0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Procedura opracowania planu miejscowego została wszczęta w wyniku uwzględnienia wniosku właściciela </w:t>
      </w:r>
      <w:r>
        <w:rPr>
          <w:rStyle w:val="C3"/>
          <w:rFonts w:ascii="Times New Roman" w:hAnsi="Times New Roman"/>
          <w:sz w:val="24"/>
          <w:lang w:val="en-US" w:bidi="en-US" w:eastAsia="en-US"/>
        </w:rPr>
        <w:t xml:space="preserve">działek </w:t>
      </w:r>
      <w:r>
        <w:rPr>
          <w:rFonts w:ascii="Times New Roman" w:hAnsi="Times New Roman"/>
          <w:sz w:val="24"/>
        </w:rPr>
        <w:t xml:space="preserve">nr nr 17/1, 17/2, 17/3, 17/4, 23, 24, 25, 27/3, 27/4,  27/9 i 29/2, położonych w granicach opracowania planu, i zainicjowana podjętą przez Radę Miejską w Sępólnie Krajeńskim</w:t>
      </w:r>
      <w:r>
        <w:rPr>
          <w:rFonts w:ascii="Times New Roman" w:hAnsi="Times New Roman"/>
          <w:sz w:val="24"/>
          <w:lang w:val="pl-PL" w:bidi="pl-PL" w:eastAsia="pl-PL"/>
        </w:rPr>
        <w:t xml:space="preserve"> uchwałą </w:t>
      </w:r>
      <w:r>
        <w:rPr>
          <w:rFonts w:ascii="Times New Roman" w:hAnsi="Times New Roman"/>
          <w:sz w:val="24"/>
        </w:rPr>
        <w:t xml:space="preserve">Nr XIII/121/2025 z dnia 30 kwietnia 2025 r.  Zapewnienie udziału społeczeństwa w pracach nad miejscowym planem zagospodarowania przestrzennego, w tym przy użyciu środków komunikacji elektronicznej, zostało zapewnione zgodnie z procedurą opracowania miejscowego planu określoną w art. 17 ustawy o planowaniu i zagospodarowaniu przestrzennym i opisane w uzasadnieniu zgodnie z art. 42 pkt 2 ustawy z dnia 3 października 2008 r. o udostępnianiu informacji o środowisku jego ochronie, udziale społeczeństwa w ochronie środowiska oraz o ocenach oddziaływania na środowisko, zawierającym informacje o udziale społeczeństwa w postępowaniu oraz o tym, w jaki sposób zostały wzięte pod uwagę i uwzględnione uwagi i wnioski zgłoszone w związku z udziałem społeczeństwa.</w:t>
      </w:r>
    </w:p>
    <w:p>
      <w:pPr>
        <w:spacing w:lineRule="auto" w:line="240" w:after="0" w:beforeAutospacing="0" w:afterAutospacing="0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Burmistrz Sępólna Krajeńskiego na każdym etapie procedury planistycznej dotyczącej planu miejscowego zapewnił jawność i przejrzystość w/w procedury. W szczególności dotyczyło to etapów związanych z udziałem społeczeństwa: składania wniosków, konsultacji społecznych oraz możliwości składania uwag. Pisma z wnioskami złożyły niektóre z zawiadomionych organów i instytucji. Zgodnie z wymogami ustawowymi Burmistrz Sępólna Krajeńskiego ogłosił o przystąpieniu do sporządzenia planu miejscowego w lokalnej prasie, na tablicy ogłoszeń Urzędu Miejskiego w Sępólnie Krajeńskim, na stronie internetowej BIP oraz w sposób zwyczajowo przyjęty, wyznaczając termin składania wniosków.  Ponadto, po uprzednim ogłoszeniu zamieszczonym w lokalnej prasie, w sposób zwyczajowo przyjęty, na tablicy ogłoszeń Urzędu Miejskiego oraz na stronie internetowej BIP, zostały przeprowadzone konsultacje społeczne. W terminach wyznaczonych przez Burmistrza Sępólna Krajeńskiego każdy, kto kwestionował ustalenia przyjęte w projekcie planu miejscowego, mógł wnieść uwagi. Wnioski i uwagi mogły być wnoszone na piśmie utrwalonym w postaci papierowej lub elektronicznej, w tym za pomocą środków komunikacji elektronicznej, w szczególności poczty elektronicznej, na formularzu w postaci papierowej lub w formie dokumentu elektronicznego zamieszczonym na stronie internetowej gminy.  </w:t>
      </w:r>
    </w:p>
    <w:p>
      <w:pPr>
        <w:spacing w:lineRule="auto" w:line="240" w:after="0" w:beforeAutospacing="0" w:afterAutospacing="0"/>
        <w:ind w:hanging="426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13.</w:t>
        <w:tab/>
        <w:t>Zapewnienie odpowiedniej ilości i jakości wody do celów zaopatrzenia ludności.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Projekt planu miejscowego zawiera ustalenia dotyczące zasad modernizacji, rozbudowy i budowy systemów infrastruktury technicznej, w tym systemów zaopatrzenia w wodę</w:t>
      </w:r>
      <w:r>
        <w:rPr>
          <w:rFonts w:ascii="Times New Roman" w:hAnsi="Times New Roman"/>
          <w:sz w:val="24"/>
          <w:lang w:val="pl-PL" w:bidi="pl-PL" w:eastAsia="pl-PL"/>
        </w:rPr>
        <w:t xml:space="preserve"> w</w:t>
      </w:r>
      <w:r>
        <w:rPr>
          <w:rFonts w:ascii="Times New Roman" w:hAnsi="Times New Roman"/>
          <w:sz w:val="24"/>
        </w:rPr>
        <w:t xml:space="preserve"> § 6 ust. 11 pkt 3. Ustalono  zaopatrzenie w wodę z gminnej sieci wodociągowej. Nakazano zapewnienie odpowiedniej ilości wody dla celów przeciwpożarowych do zewnętrznego gaszenia pożaru dla terenów i obiektów.</w:t>
      </w:r>
    </w:p>
    <w:p>
      <w:pPr>
        <w:tabs>
          <w:tab w:val="left" w:pos="284" w:leader="none"/>
        </w:tabs>
        <w:spacing w:lineRule="auto" w:line="240" w:after="0" w:beforeAutospacing="0" w:afterAutospacing="0"/>
        <w:ind w:hanging="426" w:left="284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14.</w:t>
        <w:tab/>
        <w:t>Potrzeby zapobiegania poważnym awariom i ograniczania ich skutków dla zdrowia ludzkiego i środowiska.</w:t>
      </w:r>
    </w:p>
    <w:p>
      <w:pPr>
        <w:tabs>
          <w:tab w:val="left" w:pos="0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 przeanalizowaniu możliwości zagrożeń stwierdzono, że nie zachodzi konieczność wprowadzania ustaleń w planie w w/w zakresie.</w:t>
      </w:r>
    </w:p>
    <w:p>
      <w:pPr>
        <w:tabs>
          <w:tab w:val="left" w:pos="0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</w:p>
    <w:p>
      <w:pPr>
        <w:tabs>
          <w:tab w:val="left" w:pos="284" w:leader="none"/>
        </w:tabs>
        <w:spacing w:lineRule="auto" w:line="240" w:after="0" w:beforeAutospacing="0" w:afterAutospacing="0"/>
        <w:ind w:hanging="426" w:left="284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15.</w:t>
        <w:tab/>
        <w:t>Potrzeby związane z kształtowaniem rolniczej przestrzeni produkcyjnej i rozwoju produkcji rolniczej.</w:t>
      </w:r>
    </w:p>
    <w:p>
      <w:pPr>
        <w:tabs>
          <w:tab w:val="left" w:pos="0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obszarze planu nie zmienia się przeznaczenie terenu w stosunku do przeznaczenia w aktualnie obowiązujących planach, więc nie było potrzeby wprowadzania ustaleń w planie w w/w zakresie.</w:t>
      </w:r>
    </w:p>
    <w:p>
      <w:pPr>
        <w:spacing w:lineRule="auto" w:line="240" w:after="0" w:beforeAutospacing="0" w:afterAutospacing="0"/>
        <w:ind w:hanging="426" w:left="284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16.</w:t>
        <w:tab/>
        <w:t>Przeznaczenie terenów w odniesieniu do interesu publicznego i interesów prywatnych.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obszarze planu obowiązują ustalenia dwóch miejscowych planów zagospodarowania przestrzennego.</w:t>
      </w:r>
    </w:p>
    <w:p>
      <w:pPr>
        <w:tabs>
          <w:tab w:val="left" w:pos="851" w:leader="none"/>
          <w:tab w:val="left" w:pos="5670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  <w:lang w:val="pl-PL" w:bidi="pl-PL" w:eastAsia="pl-PL"/>
        </w:rPr>
        <w:t xml:space="preserve">Celem opracowania planu jest </w:t>
      </w:r>
      <w:r>
        <w:rPr>
          <w:rFonts w:ascii="Times New Roman" w:hAnsi="Times New Roman"/>
          <w:color w:val="000000"/>
          <w:sz w:val="24"/>
          <w:lang w:val="ar-SA" w:bidi="ar-SA" w:eastAsia="ar-SA"/>
        </w:rPr>
        <w:t xml:space="preserve">modyfikacja przyjętych już dokumentów, </w:t>
      </w:r>
      <w:r>
        <w:rPr>
          <w:rFonts w:ascii="Times New Roman" w:hAnsi="Times New Roman"/>
          <w:sz w:val="24"/>
          <w:lang w:val="pl-PL" w:bidi="pl-PL" w:eastAsia="pl-PL"/>
        </w:rPr>
        <w:t>związana z dostosowaniem ustaleń planu do zmienionych potrzeb.</w:t>
      </w:r>
      <w:r>
        <w:rPr>
          <w:rFonts w:ascii="Times New Roman" w:hAnsi="Times New Roman"/>
          <w:color w:val="000000"/>
          <w:sz w:val="24"/>
          <w:lang w:val="ar-SA" w:bidi="ar-SA" w:eastAsia="ar-SA"/>
        </w:rPr>
        <w:t xml:space="preserve">  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Ustalenia przyjęte w projekcie planu równoważą interes publiczny z interesami właścicieli nieruchomości. </w:t>
      </w:r>
      <w:r>
        <w:rPr>
          <w:rFonts w:ascii="Times New Roman" w:hAnsi="Times New Roman"/>
          <w:sz w:val="24"/>
          <w:lang w:val="pl-PL" w:bidi="pl-PL" w:eastAsia="pl-PL"/>
        </w:rPr>
        <w:t>Po uprawomocnieniu się przedmiotowego planu obowiązujące plany utracą moc</w:t>
      </w:r>
      <w:r>
        <w:rPr>
          <w:rFonts w:ascii="Times New Roman" w:hAnsi="Times New Roman"/>
          <w:sz w:val="24"/>
        </w:rPr>
        <w:t xml:space="preserve"> w granicach obszaru objętego planem miejscowym, w obrębie których będą obowiązywały ustalenia </w:t>
      </w:r>
      <w:r>
        <w:rPr>
          <w:rFonts w:ascii="Times New Roman" w:hAnsi="Times New Roman"/>
          <w:sz w:val="24"/>
          <w:lang w:val="pl-PL" w:bidi="pl-PL" w:eastAsia="pl-PL"/>
        </w:rPr>
        <w:t>przedmiotowego planu.</w:t>
      </w:r>
    </w:p>
    <w:p>
      <w:pPr>
        <w:spacing w:lineRule="auto" w:line="240" w:after="0" w:beforeAutospacing="0" w:afterAutospacing="0"/>
        <w:ind w:hanging="426" w:left="284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17.</w:t>
        <w:tab/>
        <w:t xml:space="preserve">Wymagania ładu przestrzennego, efektywnego gospodarowania przestrzenią oraz walorów ekonomicznych przestrzeni, w przypadku sytuowania nowej zabudowy, w tym dążenie do minimalizowania transportochłonności i maksymalnego wykorzystania publicznego transportu zbiorowego. 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Sytuowanie nowej zabudowy uwzględnia wymagania ładu przestrzennego, efektywne gospodarowanie przestrzenią oraz walory ekonomiczne przestrzeni poprzez:</w:t>
      </w:r>
    </w:p>
    <w:p>
      <w:pPr>
        <w:numPr>
          <w:ilvl w:val="0"/>
          <w:numId w:val="5"/>
        </w:numPr>
        <w:ind w:hanging="284"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niezmienną transportochłonność układu przestrzennego,</w:t>
      </w:r>
    </w:p>
    <w:p>
      <w:pPr>
        <w:numPr>
          <w:ilvl w:val="0"/>
          <w:numId w:val="5"/>
        </w:numPr>
        <w:ind w:hanging="284"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wykorzystanie publicznego transportu zbiorowego jako podstawowego środka transportu </w:t>
        <w:br w:type="textWrapping"/>
        <w:t>na dotychczasowych zasadach,</w:t>
      </w:r>
    </w:p>
    <w:p>
      <w:pPr>
        <w:numPr>
          <w:ilvl w:val="0"/>
          <w:numId w:val="5"/>
        </w:numPr>
        <w:ind w:hanging="284"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zapewnianie dotychczasowych rozwiązań przestrzennych, ułatwiających przemieszczanie się pieszych i rowerzystów istniejącymi drogami publicznymi i powiązanymi z nimi drogami wewnętrznymi istniejącymi i projektowanymi,</w:t>
      </w:r>
    </w:p>
    <w:p>
      <w:pPr>
        <w:numPr>
          <w:ilvl w:val="0"/>
          <w:numId w:val="5"/>
        </w:numPr>
        <w:ind w:hanging="284"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planowanie i lokalizowanie nowej zabudowy na obszarach o w pełni wykształconej zwartej strukturze funkcjonalno-przestrzennej, w granicach jednostki osadniczej w rozumieniu art. 2 pkt 1 ustawy z dnia 29 sierpnia 2003 r. o urzędowych nazwach miejscowości i obiektów fizjograficznych, </w:t>
        <w:br w:type="textWrapping"/>
        <w:t>w szczególności poprzez uzupełnianie istniejącej zabudowy.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</w:rPr>
        <w:t xml:space="preserve">Oba wyznaczone w planie tereny mają zapewniony dostęp do dróg publicznych bezpośredni lub z wykorzystaniem dróg gminnych wewnętrznych, w tym możliwość dogodnego korzystania z publicznego transportu zbiorowego. Określone zasady i wskaźniki zagospodarowania terenu wyznaczono adekwatnie do proponowanych funkcji. Obszary objęte planem będą obsługiwane przez systemy komunikacyjne i przez odpowiednio rozbudowane systemy infrastrukturalne wodociągowe i kanalizacyjne.  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Rozważając możliwość ewentualnych alternatywnych rozwiązań dla przedmiotowego terenu, wniosek inwestora wydaje się uzasadniony i właściwie wpisuje się w obecne uwarunkowania komunikacyjne terenu, uwarunkowania funkcjonalno-przestrzenne wschodniej części miasta, zastane zmiany funkcjonalne zabudowy w otoczeniu i tendencje rozwojowe, potrzeby rozwoju gospodarczego a także potrzeby finansowe gminy. </w:t>
      </w:r>
    </w:p>
    <w:p>
      <w:pPr>
        <w:tabs>
          <w:tab w:val="left" w:pos="426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</w:p>
    <w:p>
      <w:pPr>
        <w:numPr>
          <w:ilvl w:val="0"/>
          <w:numId w:val="4"/>
        </w:numPr>
        <w:tabs>
          <w:tab w:val="left" w:pos="426" w:leader="none"/>
        </w:tabs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 xml:space="preserve">Zgodność z wynikami analizy, o której mowa w art. 32 ust. 1, </w:t>
      </w:r>
    </w:p>
    <w:p>
      <w:pPr>
        <w:tabs>
          <w:tab w:val="left" w:pos="426" w:leader="none"/>
        </w:tabs>
        <w:spacing w:lineRule="auto" w:line="240" w:after="0" w:beforeAutospacing="0" w:afterAutospacing="0"/>
        <w:ind w:left="1843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wraz z datą uchwały rady gminy, o której mowa w art. 32 ust. 2.</w:t>
      </w:r>
    </w:p>
    <w:p>
      <w:pPr>
        <w:tabs>
          <w:tab w:val="left" w:pos="426" w:leader="none"/>
        </w:tabs>
        <w:spacing w:lineRule="auto" w:line="240" w:after="0" w:beforeAutospacing="0" w:afterAutospacing="0"/>
        <w:ind w:firstLine="0" w:left="0"/>
        <w:jc w:val="both"/>
        <w:rPr>
          <w:rFonts w:ascii="Times New Roman" w:hAnsi="Times New Roman"/>
          <w:b w:val="1"/>
          <w:sz w:val="24"/>
        </w:rPr>
      </w:pPr>
    </w:p>
    <w:p>
      <w:pPr>
        <w:pStyle w:val="P1"/>
        <w:tabs>
          <w:tab w:val="left" w:pos="0" w:leader="none"/>
        </w:tabs>
        <w:spacing w:before="0" w:after="0" w:beforeAutospacing="0" w:afterAutospacing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„Ocenie aktualności Studium uwarunkowań i kierunków zagospodarowania przestrzennego i miejscowych planów w Gminie Sępólno Krajeńskie”, przyjętej uchwałą </w:t>
        <w:br w:type="textWrapping"/>
      </w:r>
      <w:r>
        <w:rPr>
          <w:rFonts w:ascii="Times New Roman" w:hAnsi="Times New Roman"/>
          <w:b w:val="1"/>
        </w:rPr>
        <w:t>Nr XIX/150/2025 Rady Miejskiej w Sępólnie Krajeńskim z dnia 24 września 2025 r.</w:t>
      </w:r>
      <w:r>
        <w:rPr>
          <w:rFonts w:ascii="Times New Roman" w:hAnsi="Times New Roman"/>
        </w:rPr>
        <w:t xml:space="preserve"> przewidziano przyjrzenie się istniejącym miejscowym planom zagospodarowania przestrzennego w celu dokonania ich regulacji i modyfikacji.</w:t>
      </w:r>
    </w:p>
    <w:p>
      <w:pPr>
        <w:pStyle w:val="P1"/>
        <w:tabs>
          <w:tab w:val="left" w:pos="0" w:leader="none"/>
        </w:tabs>
        <w:spacing w:before="120" w:after="0" w:beforeAutospacing="0" w:afterAutospacing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związku z powyższym opracowanie zmian </w:t>
      </w:r>
      <w:r>
        <w:rPr>
          <w:rFonts w:ascii="Times New Roman" w:hAnsi="Times New Roman"/>
          <w:lang w:val="pl-PL" w:bidi="pl-PL" w:eastAsia="pl-PL"/>
        </w:rPr>
        <w:t>miejscowych planów zagospodarowania przestrzennego</w:t>
      </w:r>
      <w:r>
        <w:rPr>
          <w:rFonts w:ascii="Times New Roman" w:hAnsi="Times New Roman"/>
        </w:rPr>
        <w:t xml:space="preserve"> terenów:</w:t>
      </w:r>
    </w:p>
    <w:p>
      <w:pPr>
        <w:numPr>
          <w:ilvl w:val="0"/>
          <w:numId w:val="6"/>
        </w:numPr>
        <w:ind w:hanging="295" w:left="295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</w:rPr>
        <w:t xml:space="preserve">przy ulicy T. Kościuszki w Sępólnie Krajeńskim, uchwalonego uchwałą XIV/110/2015 </w:t>
      </w:r>
      <w:r>
        <w:rPr>
          <w:rFonts w:ascii="Times New Roman" w:hAnsi="Times New Roman"/>
          <w:sz w:val="24"/>
          <w:lang w:val="ar-SA" w:bidi="ar-SA" w:eastAsia="ar-SA"/>
        </w:rPr>
        <w:t xml:space="preserve">Rady Miejskiej w </w:t>
      </w:r>
      <w:r>
        <w:rPr>
          <w:rFonts w:ascii="Times New Roman" w:hAnsi="Times New Roman"/>
          <w:sz w:val="24"/>
        </w:rPr>
        <w:t>Sępólnie Krajeńskim</w:t>
      </w:r>
      <w:r>
        <w:rPr>
          <w:rFonts w:ascii="Times New Roman" w:hAnsi="Times New Roman"/>
          <w:sz w:val="24"/>
          <w:lang w:val="ar-SA" w:bidi="ar-SA" w:eastAsia="ar-SA"/>
        </w:rPr>
        <w:t xml:space="preserve"> z dnia 25 listopada 2015 r. (Dz. Urz. Woj. Kuj. - Pom. z dnia 03 grudnia 2015 r. poz. 3890);</w:t>
      </w:r>
    </w:p>
    <w:p>
      <w:pPr>
        <w:numPr>
          <w:ilvl w:val="0"/>
          <w:numId w:val="6"/>
        </w:numPr>
        <w:ind w:hanging="295" w:left="295"/>
        <w:jc w:val="both"/>
        <w:rPr>
          <w:rFonts w:ascii="Times New Roman" w:hAnsi="Times New Roman"/>
          <w:sz w:val="24"/>
          <w:lang w:val="pl-PL" w:bidi="pl-PL" w:eastAsia="pl-PL"/>
        </w:rPr>
      </w:pPr>
      <w:r>
        <w:rPr>
          <w:rFonts w:ascii="Times New Roman" w:hAnsi="Times New Roman"/>
          <w:sz w:val="24"/>
        </w:rPr>
        <w:t xml:space="preserve">zabudowy rzemieślniczej w Sępólnie Krajeńskim, uchwalonego uchwałą </w:t>
      </w:r>
      <w:r>
        <w:rPr>
          <w:rFonts w:ascii="Times New Roman" w:hAnsi="Times New Roman"/>
          <w:sz w:val="24"/>
          <w:lang w:val="ar-SA" w:bidi="ar-SA" w:eastAsia="ar-SA"/>
        </w:rPr>
        <w:t xml:space="preserve">Nr XX/162/08 Rady Miejskiej w </w:t>
      </w:r>
      <w:r>
        <w:rPr>
          <w:rFonts w:ascii="Times New Roman" w:hAnsi="Times New Roman"/>
          <w:sz w:val="24"/>
        </w:rPr>
        <w:t>Sępólnie Krajeńskim</w:t>
      </w:r>
      <w:r>
        <w:rPr>
          <w:rFonts w:ascii="Times New Roman" w:hAnsi="Times New Roman"/>
          <w:sz w:val="24"/>
          <w:lang w:val="ar-SA" w:bidi="ar-SA" w:eastAsia="ar-SA"/>
        </w:rPr>
        <w:t xml:space="preserve"> z dnia 29 maja 2008 r. (Dz. Urz. Woj. Kuj. - Pom. Nr 100 </w:t>
        <w:br w:type="textWrapping"/>
        <w:t>poz. 1579 z dnia 30 lipca 2008 r.)</w:t>
      </w:r>
      <w:r>
        <w:rPr>
          <w:rFonts w:ascii="Times New Roman" w:hAnsi="Times New Roman"/>
        </w:rPr>
        <w:t>;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polegającej na </w:t>
      </w:r>
      <w:r>
        <w:rPr>
          <w:rFonts w:ascii="Times New Roman" w:hAnsi="Times New Roman"/>
          <w:sz w:val="24"/>
          <w:lang w:val="pl-PL" w:bidi="pl-PL" w:eastAsia="pl-PL"/>
        </w:rPr>
        <w:t xml:space="preserve">weryfikacji zapisów związanych z dostosowaniem do zmienionych potrzeb </w:t>
      </w:r>
      <w:r>
        <w:rPr>
          <w:rFonts w:ascii="Times New Roman" w:hAnsi="Times New Roman"/>
          <w:sz w:val="24"/>
        </w:rPr>
        <w:t>jest zgodne z wynikami analizy, o której mowa w art. 32 ust. 2 ustawy o planowaniu i zagospodarowaniu przestrzennym.</w:t>
      </w:r>
    </w:p>
    <w:p>
      <w:pPr>
        <w:tabs>
          <w:tab w:val="left" w:pos="426" w:leader="none"/>
        </w:tabs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 xml:space="preserve">III. </w:t>
        <w:tab/>
        <w:t>Wpływ na finanse publiczne, w tym budżet gminy.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4"/>
        </w:rPr>
      </w:pPr>
    </w:p>
    <w:p>
      <w:pPr>
        <w:spacing w:lineRule="auto" w:line="240" w:after="0" w:beforeAutospacing="0" w:afterAutospacing="0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Uchwalenie miejscowego planu zagospodarowania przestrzennego będzie miało w przyszłości pozytywny wpływ na budżet Gminy Sępólno Krajeńskie poprzez wzrost podatków w wyniku realizacji planowanych inwestycji. Realizacja zamierzeń inwestycyjnych określonych w planie nie wymaga ponoszenia kosztów z budżetu gminy. </w:t>
      </w:r>
      <w:r>
        <w:rPr>
          <w:rFonts w:ascii="Times New Roman" w:hAnsi="Times New Roman"/>
          <w:sz w:val="24"/>
          <w:lang w:val="pl-PL" w:bidi="pl-PL" w:eastAsia="pl-PL"/>
        </w:rPr>
        <w:t>U</w:t>
      </w:r>
      <w:r>
        <w:rPr>
          <w:rFonts w:ascii="Times New Roman" w:hAnsi="Times New Roman"/>
          <w:sz w:val="24"/>
        </w:rPr>
        <w:t xml:space="preserve">chwalenie zmiany planu miejscowego nie wiąże się z koniecznością realizacji roszczeń, o których mowa w art. 36 ust. 1 – 3 ustawy o planowaniu i zagospodarowaniu przestrzennym. </w:t>
      </w:r>
    </w:p>
    <w:p>
      <w:pPr>
        <w:spacing w:lineRule="auto" w:line="240" w:after="0" w:beforeAutospacing="0" w:afterAutospacing="0"/>
        <w:ind w:firstLine="851"/>
        <w:jc w:val="both"/>
        <w:rPr>
          <w:sz w:val="22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sz w:val="22"/>
        </w:rPr>
        <w:t xml:space="preserve">Projekt uchwały został przedstawiony na posiedzeniu Komisji Gospodarki Komunalnej oraz Porządku Publicznego Rady Miejskiej w Sępólnie Krajeńskim, która pozytywnie go zaopiniowała. </w:t>
      </w:r>
    </w:p>
    <w:p>
      <w:pPr>
        <w:spacing w:lineRule="auto" w:line="240" w:after="0" w:beforeAutospacing="0" w:afterAutospacing="0"/>
        <w:ind w:firstLine="851"/>
        <w:jc w:val="both"/>
        <w:rPr>
          <w:sz w:val="22"/>
        </w:rPr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spacing w:lineRule="auto" w:line="240" w:after="0" w:beforeAutospacing="0" w:afterAutospacing="0"/>
              <w:ind w:firstLine="0" w:left="0"/>
              <w:jc w:val="both"/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spacing w:lineRule="auto" w:line="240" w:after="0" w:beforeAutospacing="0" w:afterAutospacing="0"/>
              <w:ind w:firstLine="0" w:left="0"/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Przewodniczący Rady Miejskiej</w:t>
            </w:r>
            <w:r>
              <w:fldChar w:fldCharType="end"/>
            </w:r>
          </w:p>
          <w:p>
            <w:pPr>
              <w:spacing w:lineRule="auto" w:line="240" w:after="0" w:beforeAutospacing="0" w:afterAutospacing="0"/>
              <w:ind w:firstLine="0" w:left="0"/>
              <w:jc w:val="center"/>
            </w:pPr>
            <w:r>
              <w:t xml:space="preserve"> </w:t>
            </w:r>
          </w:p>
          <w:p>
            <w:pPr>
              <w:spacing w:lineRule="auto" w:line="240" w:after="0" w:beforeAutospacing="0" w:afterAutospacing="0"/>
              <w:ind w:firstLine="0" w:left="0"/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>
      <w:pPr>
        <w:spacing w:lineRule="auto" w:line="240" w:after="0" w:beforeAutospacing="0" w:afterAutospacing="0"/>
        <w:ind w:firstLine="851"/>
        <w:jc w:val="both"/>
      </w:pPr>
    </w:p>
    <w:sectPr>
      <w:type w:val="nextPage"/>
      <w:pgSz w:w="11907" w:h="16839" w:code="9"/>
      <w:pgMar w:left="1440" w:right="862" w:top="1440" w:bottom="1440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77CD51FE"/>
    <w:multiLevelType w:val="hybridMultilevel"/>
    <w:lvl w:ilvl="0" w:tplc="77186FAE">
      <w:start w:val="1"/>
      <w:numFmt w:val="decimal"/>
      <w:suff w:val="tab"/>
      <w:lvlText w:val="%1) "/>
      <w:lvlJc w:val="left"/>
      <w:pPr>
        <w:spacing w:lineRule="auto" w:line="240" w:after="0" w:beforeAutospacing="0" w:afterAutospacing="0"/>
        <w:ind w:hanging="360" w:left="1429"/>
      </w:pPr>
      <w:rPr>
        <w:rFonts w:ascii="Times New Roman" w:hAnsi="Times New Roman"/>
        <w:b w:val="0"/>
        <w:i w:val="0"/>
        <w:sz w:val="26"/>
        <w:u w:val="none"/>
      </w:rPr>
    </w:lvl>
    <w:lvl w:ilvl="1" w:tplc="04150019">
      <w:start w:val="1"/>
      <w:numFmt w:val="lowerLetter"/>
      <w:suff w:val="tab"/>
      <w:lvlText w:val="%2."/>
      <w:lvlJc w:val="left"/>
      <w:pPr>
        <w:spacing w:lineRule="auto" w:line="240" w:after="0" w:beforeAutospacing="0" w:afterAutospacing="0"/>
        <w:ind w:hanging="360" w:left="2149"/>
      </w:pPr>
      <w:rPr/>
    </w:lvl>
    <w:lvl w:ilvl="2" w:tplc="0415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869"/>
      </w:pPr>
      <w:rPr/>
    </w:lvl>
    <w:lvl w:ilvl="3" w:tplc="0415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3589"/>
      </w:pPr>
      <w:rPr/>
    </w:lvl>
    <w:lvl w:ilvl="4" w:tplc="0415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4309"/>
      </w:pPr>
      <w:rPr/>
    </w:lvl>
    <w:lvl w:ilvl="5" w:tplc="0415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5029"/>
      </w:pPr>
      <w:rPr/>
    </w:lvl>
    <w:lvl w:ilvl="6" w:tplc="0415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749"/>
      </w:pPr>
      <w:rPr/>
    </w:lvl>
    <w:lvl w:ilvl="7" w:tplc="0415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6469"/>
      </w:pPr>
      <w:rPr/>
    </w:lvl>
    <w:lvl w:ilvl="8" w:tplc="0415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7189"/>
      </w:pPr>
      <w:rPr/>
    </w:lvl>
  </w:abstractNum>
  <w:abstractNum w:abstractNumId="1">
    <w:nsid w:val="76B12D2A"/>
    <w:multiLevelType w:val="hybridMultilevel"/>
    <w:lvl w:ilvl="0" w:tplc="CABABBF6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1476"/>
      </w:pPr>
      <w:rPr/>
    </w:lvl>
    <w:lvl w:ilvl="1" w:tplc="04150003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2196"/>
      </w:pPr>
      <w:rPr>
        <w:rFonts w:ascii="Courier New" w:hAnsi="Courier New"/>
      </w:rPr>
    </w:lvl>
    <w:lvl w:ilvl="2" w:tplc="04150005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2916"/>
      </w:pPr>
      <w:rPr>
        <w:rFonts w:ascii="Wingdings" w:hAnsi="Wingdings"/>
      </w:rPr>
    </w:lvl>
    <w:lvl w:ilvl="3" w:tplc="04150001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3636"/>
      </w:pPr>
      <w:rPr>
        <w:rFonts w:ascii="Symbol" w:hAnsi="Symbol"/>
      </w:rPr>
    </w:lvl>
    <w:lvl w:ilvl="4" w:tplc="04150003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4356"/>
      </w:pPr>
      <w:rPr>
        <w:rFonts w:ascii="Courier New" w:hAnsi="Courier New"/>
      </w:rPr>
    </w:lvl>
    <w:lvl w:ilvl="5" w:tplc="04150005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5076"/>
      </w:pPr>
      <w:rPr>
        <w:rFonts w:ascii="Wingdings" w:hAnsi="Wingdings"/>
      </w:rPr>
    </w:lvl>
    <w:lvl w:ilvl="6" w:tplc="04150001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5796"/>
      </w:pPr>
      <w:rPr>
        <w:rFonts w:ascii="Symbol" w:hAnsi="Symbol"/>
      </w:rPr>
    </w:lvl>
    <w:lvl w:ilvl="7" w:tplc="04150003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6516"/>
      </w:pPr>
      <w:rPr>
        <w:rFonts w:ascii="Courier New" w:hAnsi="Courier New"/>
      </w:rPr>
    </w:lvl>
    <w:lvl w:ilvl="8" w:tplc="04150005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7236"/>
      </w:pPr>
      <w:rPr>
        <w:rFonts w:ascii="Wingdings" w:hAnsi="Wingdings"/>
      </w:rPr>
    </w:lvl>
  </w:abstractNum>
  <w:abstractNum w:abstractNumId="2">
    <w:nsid w:val="6F8E5DBE"/>
    <w:multiLevelType w:val="hybridMultilevel"/>
    <w:lvl w:ilvl="0" w:tplc="2FCC2570">
      <w:start w:val="1"/>
      <w:numFmt w:val="bullet"/>
      <w:suff w:val="tab"/>
      <w:lvlText w:val="-"/>
      <w:lvlJc w:val="left"/>
      <w:pPr>
        <w:spacing w:lineRule="auto" w:line="240" w:after="0" w:beforeAutospacing="0" w:afterAutospacing="0"/>
        <w:ind w:hanging="360" w:left="720"/>
      </w:pPr>
      <w:rPr/>
    </w:lvl>
    <w:lvl w:ilvl="1" w:tplc="04150003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1440"/>
      </w:pPr>
      <w:rPr>
        <w:rFonts w:ascii="Courier New" w:hAnsi="Courier New"/>
      </w:rPr>
    </w:lvl>
    <w:lvl w:ilvl="2" w:tplc="04150005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2160"/>
      </w:pPr>
      <w:rPr>
        <w:rFonts w:ascii="Wingdings" w:hAnsi="Wingdings"/>
      </w:rPr>
    </w:lvl>
    <w:lvl w:ilvl="3" w:tplc="04150001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2880"/>
      </w:pPr>
      <w:rPr>
        <w:rFonts w:ascii="Symbol" w:hAnsi="Symbol"/>
      </w:rPr>
    </w:lvl>
    <w:lvl w:ilvl="4" w:tplc="04150003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3600"/>
      </w:pPr>
      <w:rPr>
        <w:rFonts w:ascii="Courier New" w:hAnsi="Courier New"/>
      </w:rPr>
    </w:lvl>
    <w:lvl w:ilvl="5" w:tplc="04150005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4320"/>
      </w:pPr>
      <w:rPr>
        <w:rFonts w:ascii="Wingdings" w:hAnsi="Wingdings"/>
      </w:rPr>
    </w:lvl>
    <w:lvl w:ilvl="6" w:tplc="04150001">
      <w:start w:val="1"/>
      <w:numFmt w:val="bullet"/>
      <w:suff w:val="tab"/>
      <w:lvlText w:val="·"/>
      <w:lvlJc w:val="left"/>
      <w:pPr>
        <w:spacing w:lineRule="auto" w:line="240" w:after="0" w:beforeAutospacing="0" w:afterAutospacing="0"/>
        <w:ind w:hanging="360" w:left="5040"/>
      </w:pPr>
      <w:rPr>
        <w:rFonts w:ascii="Symbol" w:hAnsi="Symbol"/>
      </w:rPr>
    </w:lvl>
    <w:lvl w:ilvl="7" w:tplc="04150003">
      <w:start w:val="1"/>
      <w:numFmt w:val="bullet"/>
      <w:suff w:val="tab"/>
      <w:lvlText w:val="o"/>
      <w:lvlJc w:val="left"/>
      <w:pPr>
        <w:spacing w:lineRule="auto" w:line="240" w:after="0" w:beforeAutospacing="0" w:afterAutospacing="0"/>
        <w:ind w:hanging="360" w:left="5760"/>
      </w:pPr>
      <w:rPr>
        <w:rFonts w:ascii="Courier New" w:hAnsi="Courier New"/>
      </w:rPr>
    </w:lvl>
    <w:lvl w:ilvl="8" w:tplc="04150005">
      <w:start w:val="1"/>
      <w:numFmt w:val="bullet"/>
      <w:suff w:val="tab"/>
      <w:lvlText w:val="§"/>
      <w:lvlJc w:val="left"/>
      <w:pPr>
        <w:spacing w:lineRule="auto" w:line="240" w:after="0" w:beforeAutospacing="0" w:afterAutospacing="0"/>
        <w:ind w:hanging="360" w:left="6480"/>
      </w:pPr>
      <w:rPr>
        <w:rFonts w:ascii="Wingdings" w:hAnsi="Wingdings"/>
      </w:rPr>
    </w:lvl>
  </w:abstractNum>
  <w:abstractNum w:abstractNumId="3">
    <w:nsid w:val="3FBC454B"/>
    <w:multiLevelType w:val="hybridMultilevel"/>
    <w:lvl w:ilvl="0" w:tplc="39FC04CE">
      <w:start w:val="1"/>
      <w:numFmt w:val="upperRoman"/>
      <w:suff w:val="tab"/>
      <w:lvlText w:val="%1."/>
      <w:lvlJc w:val="left"/>
      <w:pPr>
        <w:spacing w:lineRule="auto" w:line="240" w:after="0" w:beforeAutospacing="0" w:afterAutospacing="0"/>
        <w:ind w:hanging="720" w:left="1080"/>
      </w:pPr>
      <w:rPr/>
    </w:lvl>
    <w:lvl w:ilvl="1" w:tplc="04150019">
      <w:start w:val="1"/>
      <w:numFmt w:val="lowerLetter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abstractNum w:abstractNumId="4">
    <w:nsid w:val="2FB606B0"/>
    <w:multiLevelType w:val="hybridMultilevel"/>
    <w:lvl w:ilvl="0" w:tplc="04150011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abstractNum w:abstractNumId="5">
    <w:nsid w:val="3B2E1B6F"/>
    <w:multiLevelType w:val="hybridMultilevel"/>
    <w:lvl w:ilvl="0" w:tplc="FB684B42">
      <w:start w:val="1"/>
      <w:numFmt w:val="decimal"/>
      <w:suff w:val="tab"/>
      <w:lvlText w:val="%1) "/>
      <w:lvlJc w:val="left"/>
      <w:pPr>
        <w:spacing w:lineRule="auto" w:line="240" w:after="0" w:beforeAutospacing="0" w:afterAutospacing="0"/>
        <w:ind w:hanging="360" w:left="1429"/>
      </w:pPr>
      <w:rPr>
        <w:rFonts w:ascii="Times New Roman" w:hAnsi="Times New Roman"/>
        <w:b w:val="0"/>
        <w:i w:val="0"/>
        <w:sz w:val="26"/>
        <w:u w:val="none"/>
      </w:rPr>
    </w:lvl>
    <w:lvl w:ilvl="1" w:tplc="04150019">
      <w:start w:val="1"/>
      <w:numFmt w:val="lowerLetter"/>
      <w:suff w:val="tab"/>
      <w:lvlText w:val="%2."/>
      <w:lvlJc w:val="left"/>
      <w:pPr>
        <w:spacing w:lineRule="auto" w:line="240" w:after="0" w:beforeAutospacing="0" w:afterAutospacing="0"/>
        <w:ind w:hanging="360" w:left="2149"/>
      </w:pPr>
      <w:rPr/>
    </w:lvl>
    <w:lvl w:ilvl="2" w:tplc="0415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869"/>
      </w:pPr>
      <w:rPr/>
    </w:lvl>
    <w:lvl w:ilvl="3" w:tplc="0415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3589"/>
      </w:pPr>
      <w:rPr/>
    </w:lvl>
    <w:lvl w:ilvl="4" w:tplc="0415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4309"/>
      </w:pPr>
      <w:rPr/>
    </w:lvl>
    <w:lvl w:ilvl="5" w:tplc="0415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5029"/>
      </w:pPr>
      <w:rPr/>
    </w:lvl>
    <w:lvl w:ilvl="6" w:tplc="0415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749"/>
      </w:pPr>
      <w:rPr/>
    </w:lvl>
    <w:lvl w:ilvl="7" w:tplc="0415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6469"/>
      </w:pPr>
      <w:rPr/>
    </w:lvl>
    <w:lvl w:ilvl="8" w:tplc="0415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7189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paragraph" w:styleId="P1">
    <w:name w:val="WW-Normalny (Web)"/>
    <w:basedOn w:val="P0"/>
    <w:next w:val="P1"/>
    <w:pPr>
      <w:suppressAutoHyphens w:val="1"/>
      <w:spacing w:lineRule="auto" w:line="240" w:before="280" w:after="280" w:beforeAutospacing="0" w:afterAutospacing="0"/>
    </w:pPr>
    <w:rPr>
      <w:rFonts w:ascii="Bookman Old Style" w:hAnsi="Bookman Old Style"/>
      <w:color w:val="auto"/>
      <w:sz w:val="24"/>
      <w:shd w:val="clear" w:color="auto" w:fill="auto"/>
      <w:lang w:val="ar-SA" w:bidi="ar-SA" w:eastAsia="ar-S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fontstyle01"/>
    <w:basedOn w:val="C0"/>
    <w:rPr>
      <w:rFonts w:ascii="TimesNewRomanPSMT" w:hAnsi="TimesNewRomanPSMT"/>
      <w:color w:val="000000"/>
      <w:shd w:val="clear" w:color="auto" w:fill="auto"/>
      <w:lang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HOST-52\Barabach</dc:creator>
  <dcterms:created xsi:type="dcterms:W3CDTF">2025-10-07T07:16:52Z</dcterms:created>
  <cp:lastModifiedBy>HOST-13\Frosina</cp:lastModifiedBy>
  <dcterms:modified xsi:type="dcterms:W3CDTF">2025-10-31T07:10:28Z</dcterms:modified>
  <cp:revision>43</cp:revision>
</cp:coreProperties>
</file>