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17855F6" Type="http://schemas.openxmlformats.org/officeDocument/2006/relationships/officeDocument" Target="/word/document.xml" /><Relationship Id="coreR117855F6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1 do uchwały nr XIX/147/2025</w:t>
        <w:br w:type="textWrapping"/>
        <w:t>Rady Miejskiej w Sępólnie Krajeńskim</w:t>
        <w:br w:type="textWrapping"/>
        <w:t>z dnia 24 września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b w:val="0"/>
          <w:caps w:val="0"/>
          <w:strike w:val="0"/>
          <w:color w:val="auto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Wieloletnia Prognoza Finansowa</w:t>
      </w:r>
      <w:r>
        <w:rPr>
          <w:rFonts w:ascii="Times New Roman" w:hAnsi="Times New Roman"/>
          <w:b w:val="1"/>
          <w:caps w:val="0"/>
          <w:sz w:val="22"/>
        </w:rPr>
        <w:fldChar w:fldCharType="begin"/>
      </w:r>
      <w:r>
        <w:rPr>
          <w:rFonts w:ascii="Times New Roman" w:hAnsi="Times New Roman"/>
          <w:b w:val="1"/>
          <w:caps w:val="0"/>
          <w:sz w:val="22"/>
        </w:rPr>
        <w:instrText>HYPERLINK "fnote://D3AC301F-1EE9-4AC8-BB13-16189E7B1919"</w:instrText>
      </w:r>
      <w:r>
        <w:rPr>
          <w:rFonts w:ascii="Times New Roman" w:hAnsi="Times New Roman"/>
          <w:b w:val="1"/>
          <w:caps w:val="0"/>
          <w:sz w:val="22"/>
        </w:rPr>
        <w:fldChar w:fldCharType="separate"/>
      </w:r>
      <w:r>
        <w:rPr>
          <w:rStyle w:val="C2"/>
          <w:rFonts w:ascii="Times New Roman" w:hAnsi="Times New Roman"/>
          <w:b w:val="1"/>
          <w:caps w:val="0"/>
          <w:color w:val="000000"/>
          <w:sz w:val="20"/>
          <w:u w:val="none"/>
          <w:vertAlign w:val="superscript"/>
        </w:rPr>
        <w:t>1</w:t>
      </w:r>
      <w:r>
        <w:rPr>
          <w:rStyle w:val="C2"/>
          <w:rFonts w:ascii="Times New Roman" w:hAnsi="Times New Roman"/>
          <w:b w:val="1"/>
          <w:caps w:val="0"/>
          <w:color w:val="000000"/>
          <w:sz w:val="20"/>
          <w:u w:val="none"/>
          <w:vertAlign w:val="superscript"/>
        </w:rPr>
        <w:fldChar w:fldCharType="end"/>
      </w: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8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36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ogółem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555" w:type="dxa"/>
            <w:gridSpan w:val="10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2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762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35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z tytułu udziału we wpływach z podatku dochodowego od osób fizycznych</w:t>
            </w:r>
          </w:p>
        </w:tc>
        <w:tc>
          <w:tcPr>
            <w:tcW w:w="109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z tytułu udziału we wpływach z podatku dochodowego od osób prawnych</w:t>
            </w:r>
          </w:p>
        </w:tc>
        <w:tc>
          <w:tcPr>
            <w:tcW w:w="13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subwencji ogólnej</w:t>
            </w:r>
          </w:p>
        </w:tc>
        <w:tc>
          <w:tcPr>
            <w:tcW w:w="132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z tytułu dotacji i środków przeznaczonych na cele bieżące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"fnote://FEC147B9-D2B8-42CD-A366-C44DC447AB37"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3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pozostałe dochody bieżące</w: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begin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instrText>HYPERLINK "fnote://FCF3237B-82BD-4907-820D-2420185912A6"</w:instrTex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4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ze sprzedaży majątku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 tytułu dotacji oraz środków przeznaczonych na inwestycje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 podatku od nieruchomości</w:t>
            </w: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1.1.1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1.1.2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1.1.3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1.1.4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1.1.5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1.1.5.1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1.2.1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1.2.2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2025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136 755 889,73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109 811 539,55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42 022 871,72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1 489 997,26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13 005 126,30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21 977 931,86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31 315 612,41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11 900 000,00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26 944 350,18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470 500,00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26 443 850,18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132 200 000,00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122 200 000,00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46 330 200,00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1 564 500,00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13 407 000,00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17 159 146,00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43 739 154,00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12 495 000,00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138 810 000,00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128 810 000,00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48 646 710,00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1 642 725,00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14 077 350,00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18 017 103,00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46 426 112,00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13 119 750,00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2028</w: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begin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instrText>HYPERLINK "fnote://B5D11EA2-C0DB-4332-9F16-21FEE33EE34D"</w:instrTex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2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145 750 500,00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134 750 500,00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51 079 045,00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1 724 861,00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14 781 218,00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18 917 958,00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48 247 418,00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13 775 738,00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153 038 025,00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142 038 025,00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53 632 998,00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1 811 104,00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15 520 278,00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19 863 856,00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51 209 789,00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14 464 524,00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160 689 926,00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148 689 926,00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56 314 647,00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1 901 659,00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16 296 292,00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20 857 049,00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53 320 279,00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15 187 750,00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168 724 422,00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156 724 422,00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59 130 380,00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1 996 742,00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17 111 106,00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21 899 902,00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56 586 292,00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15 947 138,00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177 160 643,00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164 160 643,00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62 086 899,00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2 096 579,00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17 966 663,00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22 994 897,00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59 015 605,00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16 744 495,00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186 018 675,00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173 018 675,00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65 191 244,00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2 201 408,00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18 864 995,00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24 144 642,00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62 616 386,00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17 581 720,00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195 319 609,00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182 319 609,00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68 450 806,00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2 311 479,00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19 808 245,00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25 351 874,00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66 397 205,00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18 460 805,00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205 085 590,00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192 085 590,00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71 873 347,00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2 427 053,00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20 798 657,00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26 619 468,00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70 367 065,00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19 383 846,00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ogółem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705" w:type="dxa"/>
            <w:gridSpan w:val="11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7695" w:type="dxa"/>
            <w:gridSpan w:val="7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29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56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na wynagrodzenia i składki od nich naliczane</w:t>
            </w:r>
          </w:p>
        </w:tc>
        <w:tc>
          <w:tcPr>
            <w:tcW w:w="88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tytułu poręczeń i gwarancji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na obsługę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3525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29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Inwestycje i zakupy inwestycyjne, o których mowa w art. 236 ust. 4 pkt 1 ustawy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gwarancje i poręczenia podlegające wyłączeniu z limitu spłaty zobowiązań, o którym mowa w art. 243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odsetki i dyskonto podlegające wyłączeniu z limitu spłaty zobowiązań, o którym mowa w art. 243 ustawy, w terminie nie dłuższym niż 90 dni po zakończeniu programu, projektu lub zadania i otrzymaniu refundacji z tych środków (bez odsetek i dyskonta od zobowiązań na wkład krajowy)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odsetki i dyskonto podlegające wyłączeniu z limitu spłaty zobowiązań, o którym mowa w art. 243 ustawy, z tytułu zobowiązań zaciągniętych na wkład krajowy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pozostałe odsetki i dyskonto podlegające wyłączeniu z limitu spłaty zobowiązań, o którym mowa w art. 243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9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 charakterze dotacyjnym na inwestycje i zakupy inwestycyjne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2.1.1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2.1.2.1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2.1.3.1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2.1.3.2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2.2.1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2.2.1.1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140 263 499,27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106 254 941,90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54 290 655,95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610 000,00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34 008 557,37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30 931 328,90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1 566 956,00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130 950 000,00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105 950 000,00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55 270 060,00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137 560 000,00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112 560 000,00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58 033 562,00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144 100 500,00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119 100 500,00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60 935 240,00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152 438 025,00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128 438 025,00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63 982 002,00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24 000 000,00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24 000 000,00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160 039 926,00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137 039 926,00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67 181 102,00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350 000,00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23 000 000,00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23 000 000,00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167 324 422,00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145 324 422,00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70 540 158,00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22 000 000,00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22 000 000,00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177 160 643,00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156 160 643,00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74 067 165,00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21 000 000,00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21 000 000,00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186 018 675,00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166 018 675,00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77 770 524,00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195 319 609,00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175 319 609,00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81 659 050,00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205 085 590,00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185 085 590,00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85 742 003,00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Wynik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Przychody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Kwota prognozowanej nadwyżki budżetu przeznaczana na spłatę kredytów, pożyczek i wykup papierów wartościowych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"fnote://31D062E6-379D-4A5D-B6A7-F07AFB28E1B5"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5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Kredyty, pożyczki, emisja papierów wartościowych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Nadwyżka budżetowa z lat ubiegłych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"fnote://40B13D73-FF03-4013-B402-BEB6E512D57C"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6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Wolne środki, o których mowa w art. 217 ust.2 pkt 6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4.3.1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-3 507 609,54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4 757 609,54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4 757 609,54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3 507 609,54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4000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Rozchody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4000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Spłaty udzielonych pożyczek w latach ubiegłych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Inne przychody niezwiązane z zaciągnięciem długu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"fnote://42AABEAB-1FEA-4A67-9C4D-76E6DB9BD949"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7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Spłaty rat kapitałowych kredytów i pożyczek oraz wykup papierów wartościowych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łączna kwota przypadających na dany rok kwot ustawowych wyłączeń z limitu spłaty zobowiązań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kwota przypadających na dany rok kwot wyłączeń określonych w art. 243 ust.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kwota przypadających na dany rok kwot wyłączeń określonych w art. 243 ust. 3a ustawy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4.5.1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5.1.1.2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Rozchody budżetu,z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zrównoważenia wydatków bieżących, o której mowa w art. 242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50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łączna kwota przypadających na dany rok kwot ustawowych wyłączeń z limitu spłaty zobowiązań,z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Inne rozchody niezwiązane ze spłatą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długu, którego planowana spłata dokona się z wydatków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Różnica między dochodami bieżącymi a wydatkami bieżącymi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Różnica między dochodami bieżącymi, skorygowanymi o środki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"fnote://E867EE4D-A935-4A56-A654-3B215DEA59DD"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8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t xml:space="preserve"> a wydatkami bieżącymi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wyłączeń z tytułu wcześniejszej spłaty zobowiązań, określonych w art. 243 ust. 3b ustawy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przypadających na dany rok kwot pozostałych ustawowych wyłączeń z limitu spłaty zobowiązań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środkami nowego zobowiązania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wolnymi środkami, o których mowa w art. 217 ust. 2 pkt 6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innymi środkami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7.2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6 800 000,00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3 556 597,65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8 314 207,19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5 550 000,00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4 300 000,00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15 650 000,00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2 050 000,00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13 600 000,00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13 600 000,00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11 650 000,00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11 400 000,00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Wskaźnik spłaty zobowiązań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określona po lewej stronie nierówności we wzorze, o którym mowa w art. 243 ust. 1 ustawy (po uwzględnieniu zobowiązań związku współtworzonego przez jednostkę samorządu terytorialnego oraz po uwzględnieniu ustawowych wyłączeń przypadających na dany rok)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określona po prawej stronie nierówności we wzorze, o którym mowa w art. 243 ust. 1 ustawy, ustalona dla danego roku (wskaźnik jednoroczny)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Dopuszczalny limit spłaty zobowiązań określony po prawej stronie nierówności we wzorze, o którym mowa w art. 243 ustawy, po uwzględnieniu ustawowych wyłączeń, obliczony w oparciu o plan 3 kwartału roku poprzedzającego pierwszy rok prognozy (wskaźnik ustalony w oparciu o średnią arytmetyczną z poprzednich lat)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Dopuszczalny limit spłaty zobowiązań określony po prawej stronie nierówności we wzorze, o którym mowa w art. 243 ustawy, po uwzględnieniu ustawowych wyłączeń, obliczony w oparciu o wykonanie roku poprzedzającego pierwszy rok prognozy (wskaźnik ustalony w oparciu o średnią arytmetyczną z poprzednich lat)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Informacja o spełnieniu wskaźnika spłaty zobowiązań określonego w art. 243 ustawy, po uwzględnieniu zobowiązań związku współtworzonego przez jednostkę samorządu terytorialnego oraz po uwzględnieniu ustawowych wyłączeń, obliczonego w oparciu o plan 3 kwartałów roku poprzedzającego rok budżetowy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Informacja o spełnieniu wskaźnika spłaty zobowiązań określonego w art. 243 ustawy, po uwzględnieniu zobowiązań związku współtworzonego przez jednostkę samorządu terytorialnego oraz po uwzględnieniu ustawowych wyłączeń, obliczonego w oparciu o wykonanie roku poprzedzającego rok budżetowy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8.4.1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2,12%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4,79%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11,37%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11,83%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1,67%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15,95%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10,09%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10,54%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1,58%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15,12%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10,27%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10,72%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1,86%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13,94%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10,72%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11,18%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0,82%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11,46%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10,85%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11,31%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0,78%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9,39%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10,85%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11,30%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1,26%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8,68%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10,86%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11,32%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5,67%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11,33%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11,33%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4,70%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11,46%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11,46%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4,46%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4,23%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8,33%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8,33%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9000" w:type="dxa"/>
            <w:gridSpan w:val="9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Finansowanie programów, projektów lub zadań realizowanych z udziałem środków, o których mowa w art. 5 ust. 1 pkt 2 i 3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 na programy, projekty lub zadania finansowane z udziałem środków, o których mowa w art. 5 ust. 1 pkt 2 i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 na programy, projekty lub zadania finansowane z udziałem środków, o których mowa w art. 5 ust. 1 pkt 2 i 3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 Wydatki bieżące na programy, projekty lub zadania finansowane z udziałem środków, o których mowa w art. 5 ust. 1 pkt 2 i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Dotacje i środki o charakterze bieżącym na realizację programu, projektu lub zadania finansowanego z udziałem środków, o których mowa w art. 5 ust. 1 pkt 2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 na programy, projekty lub zadania finansowane z udziałem środków, o których mowa w art. 5 ust. 1 pkt 2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 na programy, projekty lub zadania finansowane z udziałem środków, o których mowa w art. 5 ust. 1 pkt 2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środki określone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środki określone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finansowane środkami określonymi w art. 5 ust. 1 pkt 2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9.3.1.1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4 543 452,07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4 543 452,07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4 078 911,62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6 836 403,00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6 836 403,00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6 605 386,00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4 583 845,12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4 583 845,12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3 962 978,61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2 144 716,72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309 238,63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7000" w:type="dxa"/>
            <w:gridSpan w:val="7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Informacje uzupełniające o wybranych kategoriach finansowych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 na programy, projekty lub zadania finansowane z udziałem środków, o których mowa w art. 5 ust. 1 pkt 2 i 3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objęte limitem, o którym mowa w art. 226 ust. 3 pkt 4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 na pokrycie ujemnego wyniku finansowego samodzielnego publicznego zakładu opieki zdrowotnej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na spłatę zobowiązań przejmowanych w związku z likwidacją lub przekształceniem samodzielnego publicznego zakładu opieki zdrowotnej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zobowiązań związku współtworzonego przez jednostkę samorządu terytorialnego przypadających do spłaty w danym roku budżetowym, podlegająca doliczeniu zgodnie z art. 244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zobowiązań wynikających z przejęcia przez jednostkę samorządu terytorialnego zobowiązań po likwidowanych i przekształcanych samorządowych osobach prawnych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 na programy, projekty lub zadania finansowane z udziałem środków, o których mowa w art. 5 ust. 1 pkt 2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bieżące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majątkowe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finansowane środkami określonymi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10.5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7 728 044,87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7 728 044,87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6 610 289,21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29 873 633,28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3 707 322,81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26 166 310,47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5 875 775,31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15 580 317,28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3 369 172,97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12 211 144,31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5 211 015,87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1 211 015,87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1000" w:type="dxa"/>
            <w:gridSpan w:val="11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Informacje uzupełniające o wybranych kategoriach finansowych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Spłaty, o których mowa w poz. 5.1, wynikające wyłącznie z tytułu zobowiązań już zaciągniętych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zmniejszające dług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50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wzrostu(+)/spadku(−) kwoty długu wynikająca z operacji niekasowych (m.in. umorzenia, różnice kursowe)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Wcześniejsza spłata zobowiązań, wyłączona z limitu spłaty zobowiązań, dokonywana w formie wydatków budżetowych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Wykup papierów wartościowych, spłaty rat kredytów i pożyczek wraz z należnymi odsetkami i dyskontem, odpowiednio emitowanych lub zaciągniętych do równowartości kwoty ubytku w wykonanych dochodach jednostki samorządu terytorialnego będącego skutkiem wystąpienia COVID-19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Wydatki bieżące podlegające ustawowemu wyłączeniu z limitu spłaty zobowiązań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"fnote://07C798D9-397D-45F9-93CA-BA4F23F8234F"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9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spłata zobowiązań wymagalnych z lat poprzednich, innych niż w poz. 10.7.3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spłata zobowiązań zaliczanych do tytułu dłużnego – kredyt i pożyczka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wypłaty z tytułu wymagalnych poręczeń i gwarancji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zobowiązań zaciągniętych po dniu 1 stycznia 2019 r.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dokonywana w formie wydatku bieżącego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10.10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10.11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* Informacje zawarte w tej części wieloletniej prognozy finansowej, w tym o spełnieniu relacji określonej w art. 243 ustawy zostaną automatycznie wygenerowane przez aplikację wskazaną przez Ministra Finansów, o której mowa w § 4 ust. 1 rozporządzenia, na podstawie danych historycznych oraz prognozowanych przez jednostkę samorządu terytorialnego.Automatyczne wyliczenia danych na podstawie wartości historycznych i prognozowanych przez jednostkę samorządu terytorialnego dotyczą w szczególności także pozycji 8.3–8.3.1 i pozycji z sekcji 12.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x - pozycje oznaczone symbolem „x” sporządza się na okres prognozy kwoty długu, zgodnie z art. 227 ust. 2 ustawy. Okres ten nie podlega wydłużeniu w sytuacji planowania wydatków z tytułu niewymagalnych poręczeń i gwarancji.W przypadku planowania wydatków z tytułu niewymagalnych poręczeń i gwarancji w okresie dłuższym niż okres, na który zaciągnięto oraz planuje się zaciągnąć zobowiązania dłużne, informację o wydatkach z tytułu niewymagalnych poręczeń i gwarancji, wykraczających poza wspomniany okres, należy zamieścić w objaśnieniach do wieloletniej prognozy finansowej.</w:t>
      </w:r>
    </w:p>
    <w:sectPr>
      <w:endnotePr>
        <w:numFmt w:val="decimal"/>
      </w:endnotePr>
      <w:type w:val="nextPage"/>
      <w:pgSz w:w="16838" w:h="11906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2025-09-25T11:08:06Z</dcterms:created>
  <cp:lastModifiedBy>HOST-13\Frosina</cp:lastModifiedBy>
  <dcterms:modified xsi:type="dcterms:W3CDTF">2025-09-25T09:24:53Z</dcterms:modified>
  <cp:revision>4</cp:revision>
  <dc:title>Uchwała nr  XIX/147/2025 z dnia 24 września 2025 r.</dc:title>
</cp:coreProperties>
</file>