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956AE0" Type="http://schemas.openxmlformats.org/officeDocument/2006/relationships/officeDocument" Target="/word/document.xml" /><Relationship Id="coreR21956AE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wprowadzeniem nowego zadania pn. Kompetencje kluczem do przyszłości edycja III – zadanie realizowane w latach 2025-2026 oraz miejscowy plan zagospodarowania przestrzennego pomiędzy ul. T. Kościuszki, a ul. Zakładową w Sępólnie Krajeńskim – zadanie realizowane w latach 2025-2026.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Artur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Juhnke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Ged</dc:creator>
  <dcterms:created xsi:type="dcterms:W3CDTF">2025-06-27T08:07:00Z</dcterms:created>
  <cp:lastModifiedBy>HOST-13\Frosina</cp:lastModifiedBy>
  <dcterms:modified xsi:type="dcterms:W3CDTF">2025-06-27T08:36:17Z</dcterms:modified>
  <cp:revision>10</cp:revision>
  <dc:subject>zmieniająca uchwałę w sprawie Wieloletniej Prognozy Finansowej Gminy Sępólno Krajeńskie</dc:subject>
  <dc:title>Uchwała Nr XV/127/2025 z dnia 25 czerwca 2025 r.</dc:title>
</cp:coreProperties>
</file>