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C820FB" Type="http://schemas.openxmlformats.org/officeDocument/2006/relationships/officeDocument" Target="/word/document.xml" /><Relationship Id="coreR6DC820F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 10 marca do Rady Miejskiej w Sępólnie Krajeńskim wpłynęła petycja z dnia 5 marca 2025 r. w sprawie podjęcia uchwały wyrażającej protest wobec projektów ustaw zakładających usunięcie i zdegradowanie ustawą sędziów sądów powszechnych w Polsce, powołanych przez Prezydenta Rzeczypospolitej Polskiej.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§ 109 d ust. 1 pkt 3 Statutu Gminy Sępólno Krajeńskie z dnia 23 kwietnia 2003 r. (t.j. Dz. Urz. Woj. Kuj – Pom. z 2020 r. poz. 834) Przewodniczący Rady Miejskiej skierował petycję do rozpatrzenia do Komisji Skarg, Wniosków i Petycji Rady Miejskiej w Sępólnie Krajeńskim. Komisja Skarg, Wniosków i Petycji Rady Miejskiej w Sępólnie Krajeńskim przygotowała projekt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Marcin</dc:creator>
  <dcterms:created xsi:type="dcterms:W3CDTF">2025-04-16T13:18:40Z</dcterms:created>
  <cp:lastModifiedBy>HOST-13\Frosina</cp:lastModifiedBy>
  <dcterms:modified xsi:type="dcterms:W3CDTF">2025-05-06T06:24:11Z</dcterms:modified>
  <cp:revision>9</cp:revision>
  <dc:subject>w sprawie rozpatrzenia petycji</dc:subject>
  <dc:title>Uchwała Nr XIII/…/2025 z dnia 30 kwietnia 2025 r.</dc:title>
</cp:coreProperties>
</file>