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06C67" Type="http://schemas.openxmlformats.org/officeDocument/2006/relationships/officeDocument" Target="/word/document.xml" /><Relationship Id="coreR2F06C6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9 lit. a ustawy o samorządzie gminnym, rada gminy podejmuje uchwały w sprawach majątkowych gminy przekraczających zakres zwykłego zarządu, dotyczących m.in. nabycia nieruchomości gruntowych.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niniejszej uchwały jest wyrażenie zgody na nabycie do gminnego zasobu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nieruchomości gruntowej niezabudowanej oznaczonej w ewidencji gruntów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i budynków</w:t>
      </w:r>
      <w:r>
        <w:rPr>
          <w:rFonts w:ascii="Times New Roman" w:hAnsi="Times New Roman"/>
          <w:b w:val="0"/>
          <w:caps w:val="0"/>
          <w:sz w:val="22"/>
        </w:rPr>
        <w:t xml:space="preserve"> jako działka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457/2</w:t>
      </w:r>
      <w:r>
        <w:rPr>
          <w:rFonts w:ascii="Times New Roman" w:hAnsi="Times New Roman"/>
          <w:b w:val="0"/>
          <w:caps w:val="0"/>
          <w:sz w:val="22"/>
        </w:rPr>
        <w:t xml:space="preserve"> obr.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6 Lutowo,</w:t>
      </w:r>
      <w:r>
        <w:rPr>
          <w:rFonts w:ascii="Times New Roman" w:hAnsi="Times New Roman"/>
          <w:b w:val="0"/>
          <w:caps w:val="0"/>
          <w:sz w:val="22"/>
        </w:rPr>
        <w:t xml:space="preserve"> gm. Sępólno Krajeńskie, o pow. 0,0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031</w:t>
      </w:r>
      <w:r>
        <w:rPr>
          <w:rFonts w:ascii="Times New Roman" w:hAnsi="Times New Roman"/>
          <w:b w:val="0"/>
          <w:caps w:val="0"/>
          <w:sz w:val="22"/>
        </w:rPr>
        <w:t xml:space="preserve"> ha.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Nabycie ww. działki jest niezbędne w celu przeznaczenia na drogę publiczną oraz ma służyć poprawie bezpieczeństwa użytkowników ruchu drogowego. Dla realizacji niniejszego celu publicznego, Gmina podejmuje starania o nabycie do gminnego zasobu nieruchomości, gruntów przeznaczonych pod drogę.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2023-07-24T09:44:03Z</dcterms:created>
  <cp:lastModifiedBy>HOST-13\Frosina</cp:lastModifiedBy>
  <dcterms:modified xsi:type="dcterms:W3CDTF">2025-05-06T07:14:15Z</dcterms:modified>
  <cp:revision>19</cp:revision>
  <dc:subject>w sprawie wyrażenia zgody na odpłatne nabycie nieruchomości gruntowej o numerze 111/1 obr. 15 Wałdówko, gm. Sępólno Krajeńskie</dc:subject>
  <dc:title>Uchwała Nr LIX/.../2023 z dnia 30 sierpnia 2023 r.</dc:title>
</cp:coreProperties>
</file>