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39530B0" Type="http://schemas.openxmlformats.org/officeDocument/2006/relationships/officeDocument" Target="/word/document.xml" /><Relationship Id="coreR439530B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Działając na podstawie art. 11a ust.1 ustawy z dnia 21 sierpnia 1997 r. o ochronie zwierząt, rada gminy ma obowiązek w drodze uchwały corocznie do dnia 31 marca, przyjąć program opieki nad zwierzętami bezdomnymi oraz zapobiegania bezdomności zwierząt.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obowiązującymi przepisami należy przyjąć przedmiotowy Program na rok 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pozytywnie zaopiniowany przez Komisję Gospodarki Komunalnej oraz Porządku Publicznego, a także Komisję Rolnictwa, Leśnictwa i Ochrony Środowiska Rady Miejskiej w Sępólnie Krajeńskim.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skonsultowany z Powiatowym Lekarzem Weterynarii, organizacjami społecznymi, Nadleśnictwami oraz Kołami Łowieckimi.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2025-03-27T11:01:13Z</dcterms:created>
  <cp:lastModifiedBy>HOST-13\Frosina</cp:lastModifiedBy>
  <dcterms:modified xsi:type="dcterms:W3CDTF">2025-03-27T10:01:43Z</dcterms:modified>
  <cp:revision>3</cp:revision>
  <dc:subject>w sprawie przyjęcia Programu opieki nad zwierzętami bezdomnymi oraz zapobiegania bezdomności zwierząt na terenie Gminy Sępólno Krajeńskie na rok 2025</dc:subject>
  <dc:title>Uchwała Nr XII/109/2025 z dnia 26 marca 2025 r.</dc:title>
</cp:coreProperties>
</file>