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5844B246" Type="http://schemas.openxmlformats.org/officeDocument/2006/relationships/officeDocument" Target="/word/document.xml" /><Relationship Id="coreR5844B246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left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Podjęcie uchwały związane jest z waloryzacją diet przewodniczących organu wykonawczego jednostki pomocniczej i aktualizacją załącznika. W związku ze zwiększeniem zakresu zadań od stycznia 2025 roku wynikających z dostarczania mieszkańcom korespondencji w zakresie wymiaru podatków i opłat oraz wypłatą diet w okresach kwartalnych uchwała obowiązuje od początku roku.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left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 xml:space="preserve">Projekt uchwały uzyskał pozytywną opinię  Komisji Budżetu Rady Miejskiej w Sępólnie Krajeńskim.</w:t>
      </w:r>
    </w:p>
    <w:p>
      <w:pPr>
        <w:keepNext w:val="1"/>
        <w:keepLines w:val="1"/>
        <w:spacing w:lineRule="auto" w:line="240" w:before="120" w:after="120" w:beforeAutospacing="0" w:afterAutospacing="0"/>
        <w:ind w:firstLine="227" w:left="0" w:right="0"/>
        <w:jc w:val="left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  A.B.</w:t>
      </w:r>
    </w:p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jc w:val="left"/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</w:pPr>
          </w:p>
        </w:tc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 w:val="1"/>
              <w:keepLines w:val="1"/>
              <w:spacing w:before="560" w:after="560" w:beforeAutospacing="0" w:afterAutospacing="0"/>
              <w:ind w:firstLine="0" w:left="1134" w:right="1134"/>
              <w:jc w:val="center"/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instrText>MERGEFIELD SIGNATURE_0_0__FUNCTION \* MERGEFORMAT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Przewodniczący Rady Miejskiej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br w:type="textWrapping"/>
              <w:br w:type="textWrapping"/>
              <w:br w:type="textWrapping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SIGNATURE_0_0_FIRSTNAME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Artur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SIGNATURE_0_0_LASTNAME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Juhnke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</w:p>
        </w:tc>
      </w:tr>
    </w:tbl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</w:p>
    <w:sectPr>
      <w:endnotePr>
        <w:numFmt w:val="decimal"/>
      </w:endnotePr>
      <w:type w:val="nextPage"/>
      <w:pgSz w:w="11906" w:h="16838" w:code="0"/>
      <w:pgMar w:left="1020" w:right="1020" w:top="1417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Frosina</dc:creator>
  <dcterms:created xsi:type="dcterms:W3CDTF">2025-02-27T13:24:18Z</dcterms:created>
  <cp:lastModifiedBy>HOST-13\Frosina</cp:lastModifiedBy>
  <dcterms:modified xsi:type="dcterms:W3CDTF">2025-02-27T12:24:22Z</dcterms:modified>
  <cp:revision>2</cp:revision>
  <dc:subject>zmieniająca uchwałę w sprawie diet i zwrotu kosztów podróży służbowych przysługujących radnym oraz diet przysługujących przewodniczącym organów wykonawczych jednostek pomocniczych</dc:subject>
  <dc:title>Uchwała Nr XI/97/2025 z dnia 26 lutego 2025 r.</dc:title>
</cp:coreProperties>
</file>