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C46176" Type="http://schemas.openxmlformats.org/officeDocument/2006/relationships/officeDocument" Target="/word/document.xml" /><Relationship Id="coreR20C4617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229 pkt 3 ustawy z dnia 14 czerwca 1960 r. Kodeks postepowania administracyjnego (t.j. Dz.U. z 2024 r., poz. 572) organem właściwym do rozpatrzenia skargi na kierownika gminnej jednostki organizacyjnej jest Rada Miejska. W związku z powyższym przygotowano projekt niniejszej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2025-01-15T09:23:27Z</dcterms:created>
  <cp:lastModifiedBy>HOST-13\Frosina</cp:lastModifiedBy>
  <dcterms:modified xsi:type="dcterms:W3CDTF">2025-01-30T11:08:31Z</dcterms:modified>
  <cp:revision>19</cp:revision>
  <dc:subject>w sprawie skargi na Dyrektora Zakładu Obsługi Oświaty Samorządowej w Sępólnie Krajeńskim</dc:subject>
  <dc:title>Uchwała Nr X/…/2025 z dnia 15 stycznia 2025 r.</dc:title>
</cp:coreProperties>
</file>