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D5853BD" Type="http://schemas.openxmlformats.org/officeDocument/2006/relationships/officeDocument" Target="/word/document.xml" /><Relationship Id="coreR5D5853B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Wieloletnią Prognozę Finansową Gminy Sępólno Krajeńskie tworzy się na podstawie art. 226-230 ustawy z dnia 27 sierpnia 2009r. o finansach publicznych oraz w oparciu o przyjęte przedsięwzięcia określone w załączniku nr 2 i objaśnienia.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A.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2024-12-20T11:03:41Z</dcterms:created>
  <cp:lastModifiedBy>HOST-13\Frosina</cp:lastModifiedBy>
  <dcterms:modified xsi:type="dcterms:W3CDTF">2024-12-20T10:04:06Z</dcterms:modified>
  <cp:revision>3</cp:revision>
  <dc:subject>w sprawie Wieloletniej Prognozy Finansowej Gminy Sępólno Krajeńskie</dc:subject>
  <dc:title>Uchwała Nr IX/78/2024 z dnia 18 grudnia 2024 r.</dc:title>
</cp:coreProperties>
</file>