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F9B783C" Type="http://schemas.openxmlformats.org/officeDocument/2006/relationships/officeDocument" Target="/word/document.xml" /><Relationship Id="coreR4F9B783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Zmiana Statutu gminy następuje głównie ze względu na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regulację zapisów dotyczących udzielania głosu </w:t>
      </w:r>
      <w:r>
        <w:rPr>
          <w:rFonts w:ascii="Times New Roman" w:hAnsi="Times New Roman"/>
          <w:b w:val="0"/>
          <w:caps w:val="0"/>
          <w:sz w:val="22"/>
        </w:rPr>
        <w:t xml:space="preserve"> podczas obrad sesji Rady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osobom nie będącym radnymi</w:t>
      </w:r>
      <w:r>
        <w:rPr>
          <w:rFonts w:ascii="Times New Roman" w:hAnsi="Times New Roman"/>
          <w:b w:val="0"/>
          <w:caps w:val="0"/>
          <w:sz w:val="22"/>
        </w:rPr>
        <w:t>, ponadto dokonano zmian porządkujących zapisy Statutu.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niniejszej uchwały uzyskał pozytywną opinię Komisji Statutowej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Wojtania</dc:creator>
  <dcterms:created xsi:type="dcterms:W3CDTF">2024-11-07T14:13:54Z</dcterms:created>
  <cp:lastModifiedBy>HOST-13\Frosina</cp:lastModifiedBy>
  <dcterms:modified xsi:type="dcterms:W3CDTF">2024-11-28T10:07:53Z</dcterms:modified>
  <cp:revision>18</cp:revision>
  <dc:subject>zmieniająca uchwałę w sprawie Statutu Gminy Sępólno Krajeńskie</dc:subject>
  <dc:title>Uchwała Nr VIII/ /2024 z dnia 27 listopada 2024 r.</dc:title>
</cp:coreProperties>
</file>