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F491DA" Type="http://schemas.openxmlformats.org/officeDocument/2006/relationships/officeDocument" Target="/word/document.xml" /><Relationship Id="coreR11F491D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before="120" w:after="120" w:beforeAutospacing="0" w:afterAutospacing="0"/>
        <w:ind w:firstLine="227"/>
        <w:jc w:val="both"/>
      </w:pPr>
      <w:r>
        <w:rPr>
          <w:lang w:val="pl-PL" w:bidi="pl-PL" w:eastAsia="pl-PL"/>
        </w:rPr>
        <w:t xml:space="preserve">Przeznaczona do sprzedaży część udziału w nieruchomości, </w:t>
      </w:r>
      <w:r>
        <w:t>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nieruchomości będące własnością gminy mogą być przedmiotem sprzedaży.</w:t>
      </w:r>
    </w:p>
    <w:p>
      <w:pPr>
        <w:spacing w:before="120" w:after="120" w:beforeAutospacing="0" w:afterAutospacing="0"/>
        <w:ind w:firstLine="227"/>
        <w:jc w:val="both"/>
      </w:pPr>
      <w:r>
        <w:rPr>
          <w:lang w:val="pl-PL" w:bidi="pl-PL" w:eastAsia="pl-PL"/>
        </w:rPr>
        <w:t xml:space="preserve">Sprzedaż części udziału nastąpi na rzecz współwłaściciela lokal mieszkalnego nr 11, </w:t>
      </w:r>
      <w:r>
        <w:t>położonego w nieruchomości pod adresem Komierowo 22b</w:t>
      </w:r>
      <w:r>
        <w:rPr>
          <w:lang w:val="pl-PL" w:bidi="pl-PL" w:eastAsia="pl-PL"/>
        </w:rPr>
        <w:t xml:space="preserve">. </w:t>
      </w:r>
    </w:p>
    <w:p>
      <w:pPr>
        <w:spacing w:before="120" w:after="120" w:beforeAutospacing="0" w:afterAutospacing="0"/>
        <w:ind w:firstLine="227"/>
        <w:jc w:val="both"/>
      </w:pPr>
      <w:r>
        <w:t> Projekt uchwały został zaopiniowany pozytywnie przez Komisję Gospodarki Komunalnej oraz Porządku Publicznego Rady Miejskiej w Sępólnie Krajeńskim.</w:t>
      </w:r>
    </w:p>
    <w:p>
      <w:pPr>
        <w:keepNext w:val="1"/>
      </w:pPr>
      <w:r>
        <w:t> 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Polczyńska</dc:creator>
  <dcterms:created xsi:type="dcterms:W3CDTF">2024-11-04T09:26:15Z</dcterms:created>
  <cp:lastModifiedBy>HOST-13\Frosina</cp:lastModifiedBy>
  <dcterms:modified xsi:type="dcterms:W3CDTF">2024-11-28T07:58:07Z</dcterms:modified>
  <cp:revision>12</cp:revision>
</cp:coreProperties>
</file>