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053FB6" Type="http://schemas.openxmlformats.org/officeDocument/2006/relationships/officeDocument" Target="/word/document.xml" /><Relationship Id="coreR7053FB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określa szczegółowe przypadki, w których ulgi mogą zostać zastosowane oraz postępowanie w sprawach o udzielenie ulgi, a także określa przypadki, w których pomoc taka stanowić będzie pomoc de minimis.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także przedstawiony do zaopiniowania w Urzędzie Ochrony Konkurencji i Konsumentów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oraz w</w:t>
      </w:r>
      <w:r>
        <w:rPr>
          <w:rFonts w:ascii="Times New Roman" w:hAnsi="Times New Roman"/>
          <w:b w:val="0"/>
          <w:caps w:val="0"/>
          <w:sz w:val="22"/>
        </w:rPr>
        <w:t xml:space="preserve"> Minist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erstwie</w:t>
      </w:r>
      <w:r>
        <w:rPr>
          <w:rFonts w:ascii="Times New Roman" w:hAnsi="Times New Roman"/>
          <w:b w:val="0"/>
          <w:caps w:val="0"/>
          <w:sz w:val="22"/>
        </w:rPr>
        <w:t xml:space="preserve"> Rolnictwa celem oceny przejrzystości zasad udzielania pomocy de minimis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Stryszyk</dc:creator>
  <dcterms:created xsi:type="dcterms:W3CDTF">2024-10-21T09:50:11Z</dcterms:created>
  <cp:lastModifiedBy>HOST-13\Frosina</cp:lastModifiedBy>
  <dcterms:modified xsi:type="dcterms:W3CDTF">2024-10-31T10:46:48Z</dcterms:modified>
  <cp:revision>30</cp:revision>
  <dc:subject>w sprawie określenia szczegółowych zasad i trybu umarzania, odraczania lub rozkładania na raty należności pieniężnych o charakterze cywilnoprawnym przypadających Gminie Sępólno Krajeńskie lub jej jednostkom organizacyjnym, warunków dopuszczalności pomocy publicznej w przypadkach, w których ulga będzie stanowić pomoc publiczną oraz wskazania organów uprawnionych do udzielania ulg</dc:subject>
  <dc:title>Uchwała Nr VII/…/2024 z dnia 30 października 2024 r.</dc:title>
</cp:coreProperties>
</file>